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D730" w14:textId="37C791C7" w:rsidR="00C87A75" w:rsidRPr="00C87A75" w:rsidRDefault="00794037" w:rsidP="00C87A75">
      <w:pPr>
        <w:pStyle w:val="Heading1"/>
        <w:spacing w:before="0" w:line="240" w:lineRule="auto"/>
        <w:jc w:val="center"/>
        <w:rPr>
          <w:noProof/>
          <w:color w:val="auto"/>
        </w:rPr>
      </w:pPr>
      <w:r>
        <w:rPr>
          <w:rFonts w:ascii="Garamond" w:hAnsi="Garamond"/>
          <w:noProof/>
          <w:color w:val="auto"/>
        </w:rPr>
        <w:drawing>
          <wp:inline distT="0" distB="0" distL="0" distR="0" wp14:anchorId="6D69EFCB" wp14:editId="66BB2EC4">
            <wp:extent cx="182880" cy="183492"/>
            <wp:effectExtent l="0" t="0" r="7620" b="7620"/>
            <wp:docPr id="63571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14333" name="Picture 635714333"/>
                    <pic:cNvPicPr/>
                  </pic:nvPicPr>
                  <pic:blipFill>
                    <a:blip r:embed="rId8"/>
                    <a:stretch>
                      <a:fillRect/>
                    </a:stretch>
                  </pic:blipFill>
                  <pic:spPr>
                    <a:xfrm>
                      <a:off x="0" y="0"/>
                      <a:ext cx="182880" cy="183492"/>
                    </a:xfrm>
                    <a:prstGeom prst="rect">
                      <a:avLst/>
                    </a:prstGeom>
                  </pic:spPr>
                </pic:pic>
              </a:graphicData>
            </a:graphic>
          </wp:inline>
        </w:drawing>
      </w:r>
      <w:r w:rsidR="00A403D3" w:rsidRPr="00A403D3">
        <w:rPr>
          <w:rFonts w:ascii="Garamond" w:hAnsi="Garamond"/>
          <w:color w:val="auto"/>
        </w:rPr>
        <w:t>Lewes FC Supporters Club</w:t>
      </w:r>
      <w:r>
        <w:rPr>
          <w:noProof/>
          <w:color w:val="auto"/>
        </w:rPr>
        <w:drawing>
          <wp:inline distT="0" distB="0" distL="0" distR="0" wp14:anchorId="7E306318" wp14:editId="47055584">
            <wp:extent cx="182880" cy="161163"/>
            <wp:effectExtent l="0" t="0" r="7620" b="0"/>
            <wp:docPr id="963884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84602" name="Picture 963884602"/>
                    <pic:cNvPicPr/>
                  </pic:nvPicPr>
                  <pic:blipFill>
                    <a:blip r:embed="rId9"/>
                    <a:stretch>
                      <a:fillRect/>
                    </a:stretch>
                  </pic:blipFill>
                  <pic:spPr>
                    <a:xfrm>
                      <a:off x="0" y="0"/>
                      <a:ext cx="182880" cy="161163"/>
                    </a:xfrm>
                    <a:prstGeom prst="rect">
                      <a:avLst/>
                    </a:prstGeom>
                  </pic:spPr>
                </pic:pic>
              </a:graphicData>
            </a:graphic>
          </wp:inline>
        </w:drawing>
      </w:r>
      <w:r w:rsidR="00A403D3" w:rsidRPr="00A403D3">
        <w:rPr>
          <w:noProof/>
          <w:color w:val="auto"/>
        </w:rPr>
        <w:t xml:space="preserve"> </w:t>
      </w:r>
    </w:p>
    <w:p w14:paraId="11AEB5E3" w14:textId="77777777" w:rsidR="00A403D3" w:rsidRDefault="00A403D3" w:rsidP="00A403D3">
      <w:pPr>
        <w:pStyle w:val="Heading1"/>
        <w:spacing w:before="0" w:line="240" w:lineRule="auto"/>
        <w:jc w:val="center"/>
        <w:rPr>
          <w:rFonts w:ascii="Garamond" w:hAnsi="Garamond"/>
          <w:color w:val="auto"/>
        </w:rPr>
      </w:pPr>
      <w:r w:rsidRPr="00A403D3">
        <w:rPr>
          <w:rFonts w:ascii="Garamond" w:hAnsi="Garamond"/>
          <w:color w:val="auto"/>
        </w:rPr>
        <w:t>Annual Membership Report</w:t>
      </w:r>
      <w:r>
        <w:rPr>
          <w:rFonts w:ascii="Garamond" w:hAnsi="Garamond"/>
          <w:color w:val="auto"/>
        </w:rPr>
        <w:t xml:space="preserve"> </w:t>
      </w:r>
    </w:p>
    <w:p w14:paraId="354CD590" w14:textId="619C6B9F" w:rsidR="00794037" w:rsidRPr="00CC7309" w:rsidRDefault="00A403D3" w:rsidP="00CC7309">
      <w:pPr>
        <w:pStyle w:val="Heading1"/>
        <w:spacing w:before="0" w:line="240" w:lineRule="auto"/>
        <w:jc w:val="center"/>
        <w:rPr>
          <w:rFonts w:ascii="Garamond" w:hAnsi="Garamond"/>
          <w:color w:val="auto"/>
        </w:rPr>
      </w:pPr>
      <w:r>
        <w:rPr>
          <w:rFonts w:ascii="Garamond" w:hAnsi="Garamond"/>
          <w:color w:val="auto"/>
        </w:rPr>
        <w:t>2025</w:t>
      </w:r>
    </w:p>
    <w:p w14:paraId="7D9E0A33" w14:textId="77777777" w:rsidR="00004B33" w:rsidRPr="00A403D3" w:rsidRDefault="00004B33" w:rsidP="00004B33">
      <w:pPr>
        <w:spacing w:after="0" w:line="240" w:lineRule="auto"/>
        <w:rPr>
          <w:b/>
          <w:i/>
        </w:rPr>
      </w:pPr>
      <w:r w:rsidRPr="00A403D3">
        <w:rPr>
          <w:b/>
          <w:i/>
        </w:rPr>
        <w:t>LFC Supporters Club Executive Committee (2025)</w:t>
      </w:r>
    </w:p>
    <w:p w14:paraId="32FA3426" w14:textId="77777777" w:rsidR="00004B33" w:rsidRPr="00A403D3" w:rsidRDefault="00004B33" w:rsidP="00004B33">
      <w:pPr>
        <w:pStyle w:val="NormalWeb"/>
        <w:spacing w:before="0" w:beforeAutospacing="0" w:after="0" w:afterAutospacing="0"/>
        <w:rPr>
          <w:rStyle w:val="Strong"/>
          <w:rFonts w:ascii="Garamond" w:hAnsi="Garamond"/>
          <w:sz w:val="22"/>
          <w:szCs w:val="22"/>
        </w:rPr>
      </w:pPr>
    </w:p>
    <w:p w14:paraId="43AF65C1" w14:textId="77777777" w:rsidR="00004B33" w:rsidRPr="00A403D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Chair </w:t>
      </w:r>
      <w:r w:rsidRPr="00A403D3">
        <w:rPr>
          <w:rFonts w:ascii="Garamond" w:hAnsi="Garamond"/>
          <w:sz w:val="22"/>
          <w:szCs w:val="22"/>
        </w:rPr>
        <w:t>– Barry Collins; bazzacollins@gmail.com</w:t>
      </w:r>
    </w:p>
    <w:p w14:paraId="3ADF6FAF" w14:textId="77777777" w:rsidR="00004B33" w:rsidRPr="00A403D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Vice-chair </w:t>
      </w:r>
      <w:r w:rsidRPr="00A403D3">
        <w:rPr>
          <w:rFonts w:ascii="Garamond" w:hAnsi="Garamond"/>
          <w:sz w:val="22"/>
          <w:szCs w:val="22"/>
        </w:rPr>
        <w:t>– Barry Haffenden; kinghuffles@gmail.com</w:t>
      </w:r>
    </w:p>
    <w:p w14:paraId="28CC6CDC" w14:textId="77777777" w:rsidR="00004B33" w:rsidRPr="00A403D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Secretary </w:t>
      </w:r>
      <w:r w:rsidRPr="00A403D3">
        <w:rPr>
          <w:rFonts w:ascii="Garamond" w:hAnsi="Garamond"/>
          <w:sz w:val="22"/>
          <w:szCs w:val="22"/>
        </w:rPr>
        <w:t>– Mike Wallis; mikewallis11@gmail.com</w:t>
      </w:r>
    </w:p>
    <w:p w14:paraId="4578F70F" w14:textId="77777777" w:rsidR="00004B33" w:rsidRPr="00A403D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Treasurer </w:t>
      </w:r>
      <w:r w:rsidRPr="00A403D3">
        <w:rPr>
          <w:rFonts w:ascii="Garamond" w:hAnsi="Garamond"/>
          <w:sz w:val="22"/>
          <w:szCs w:val="22"/>
        </w:rPr>
        <w:t>– Alan Sayers; alan.sayers1950@gmail.com</w:t>
      </w:r>
    </w:p>
    <w:p w14:paraId="4CAACAB2" w14:textId="77777777" w:rsidR="00004B33" w:rsidRPr="00A403D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Membership Secretary </w:t>
      </w:r>
      <w:r w:rsidRPr="00A403D3">
        <w:rPr>
          <w:rFonts w:ascii="Garamond" w:hAnsi="Garamond"/>
          <w:sz w:val="22"/>
          <w:szCs w:val="22"/>
        </w:rPr>
        <w:t>– Jeff Sheldon; jandrewsheldon@gmail.com</w:t>
      </w:r>
    </w:p>
    <w:p w14:paraId="4F2EFD1C" w14:textId="77777777" w:rsidR="00004B33" w:rsidRDefault="00004B33" w:rsidP="00004B33">
      <w:pPr>
        <w:pStyle w:val="NormalWeb"/>
        <w:spacing w:before="0" w:beforeAutospacing="0" w:after="0" w:afterAutospacing="0"/>
        <w:rPr>
          <w:rFonts w:ascii="Garamond" w:hAnsi="Garamond"/>
          <w:sz w:val="22"/>
          <w:szCs w:val="22"/>
        </w:rPr>
      </w:pPr>
      <w:r w:rsidRPr="00A403D3">
        <w:rPr>
          <w:rStyle w:val="Strong"/>
          <w:rFonts w:ascii="Garamond" w:hAnsi="Garamond"/>
          <w:sz w:val="22"/>
          <w:szCs w:val="22"/>
        </w:rPr>
        <w:t xml:space="preserve">Communications Manager </w:t>
      </w:r>
      <w:r w:rsidRPr="00A403D3">
        <w:rPr>
          <w:rFonts w:ascii="Garamond" w:hAnsi="Garamond"/>
          <w:sz w:val="22"/>
          <w:szCs w:val="22"/>
        </w:rPr>
        <w:t xml:space="preserve">– Barry Collins; </w:t>
      </w:r>
      <w:hyperlink r:id="rId10" w:history="1">
        <w:r w:rsidRPr="00A316D7">
          <w:rPr>
            <w:rStyle w:val="Hyperlink"/>
            <w:rFonts w:ascii="Garamond" w:hAnsi="Garamond"/>
            <w:sz w:val="22"/>
            <w:szCs w:val="22"/>
          </w:rPr>
          <w:t>bazzacollins@gmail.com</w:t>
        </w:r>
      </w:hyperlink>
    </w:p>
    <w:p w14:paraId="3CAAC03F" w14:textId="77777777" w:rsidR="00004B33" w:rsidRDefault="00004B33" w:rsidP="00C87A75">
      <w:pPr>
        <w:pStyle w:val="Heading2"/>
        <w:tabs>
          <w:tab w:val="left" w:pos="3825"/>
        </w:tabs>
        <w:spacing w:before="0" w:line="240" w:lineRule="auto"/>
        <w:rPr>
          <w:rFonts w:ascii="Garamond" w:hAnsi="Garamond"/>
          <w:color w:val="auto"/>
        </w:rPr>
      </w:pPr>
    </w:p>
    <w:p w14:paraId="6727616B" w14:textId="382348C0" w:rsidR="00B63C85" w:rsidRDefault="00DC11A7" w:rsidP="00C87A75">
      <w:pPr>
        <w:pStyle w:val="Heading2"/>
        <w:tabs>
          <w:tab w:val="left" w:pos="3825"/>
        </w:tabs>
        <w:spacing w:before="0" w:line="240" w:lineRule="auto"/>
        <w:rPr>
          <w:rFonts w:ascii="Garamond" w:hAnsi="Garamond"/>
          <w:color w:val="auto"/>
        </w:rPr>
      </w:pPr>
      <w:r w:rsidRPr="00A403D3">
        <w:rPr>
          <w:rFonts w:ascii="Garamond" w:hAnsi="Garamond"/>
          <w:color w:val="auto"/>
        </w:rPr>
        <w:t>2025 At-a-Glance</w:t>
      </w:r>
    </w:p>
    <w:p w14:paraId="74483809" w14:textId="07C016A2" w:rsidR="00DC11A7" w:rsidRPr="00A403D3" w:rsidRDefault="00C87A75" w:rsidP="00C87A75">
      <w:pPr>
        <w:pStyle w:val="Heading2"/>
        <w:tabs>
          <w:tab w:val="left" w:pos="3825"/>
        </w:tabs>
        <w:spacing w:before="0" w:line="240" w:lineRule="auto"/>
        <w:rPr>
          <w:rFonts w:ascii="Garamond" w:hAnsi="Garamond"/>
          <w:color w:val="auto"/>
        </w:rPr>
      </w:pPr>
      <w:r>
        <w:rPr>
          <w:rFonts w:ascii="Garamond" w:hAnsi="Garamond"/>
          <w:color w:val="auto"/>
        </w:rPr>
        <w:tab/>
      </w:r>
    </w:p>
    <w:tbl>
      <w:tblPr>
        <w:tblStyle w:val="GridTable4"/>
        <w:tblW w:w="5000" w:type="pct"/>
        <w:tblLook w:val="04A0" w:firstRow="1" w:lastRow="0" w:firstColumn="1" w:lastColumn="0" w:noHBand="0" w:noVBand="1"/>
      </w:tblPr>
      <w:tblGrid>
        <w:gridCol w:w="4609"/>
        <w:gridCol w:w="4247"/>
      </w:tblGrid>
      <w:tr w:rsidR="00B63C85" w:rsidRPr="00A403D3" w14:paraId="74014BBC" w14:textId="77777777" w:rsidTr="00441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7DE236F3" w14:textId="453D75B4" w:rsidR="00B63C85" w:rsidRPr="00B63C85" w:rsidRDefault="00B63C85" w:rsidP="00F95C7F">
            <w:pPr>
              <w:rPr>
                <w:b w:val="0"/>
                <w:bCs w:val="0"/>
              </w:rPr>
            </w:pPr>
            <w:r w:rsidRPr="00B63C85">
              <w:rPr>
                <w:b w:val="0"/>
                <w:bCs w:val="0"/>
              </w:rPr>
              <w:t>Category</w:t>
            </w:r>
          </w:p>
        </w:tc>
        <w:tc>
          <w:tcPr>
            <w:tcW w:w="2398" w:type="pct"/>
          </w:tcPr>
          <w:p w14:paraId="6A63069B" w14:textId="465D70BE" w:rsidR="00B63C85" w:rsidRPr="00B63C85" w:rsidRDefault="00B63C85" w:rsidP="00F95C7F">
            <w:pPr>
              <w:cnfStyle w:val="100000000000" w:firstRow="1" w:lastRow="0" w:firstColumn="0" w:lastColumn="0" w:oddVBand="0" w:evenVBand="0" w:oddHBand="0" w:evenHBand="0" w:firstRowFirstColumn="0" w:firstRowLastColumn="0" w:lastRowFirstColumn="0" w:lastRowLastColumn="0"/>
              <w:rPr>
                <w:b w:val="0"/>
                <w:bCs w:val="0"/>
              </w:rPr>
            </w:pPr>
            <w:r w:rsidRPr="00B63C85">
              <w:rPr>
                <w:b w:val="0"/>
                <w:bCs w:val="0"/>
              </w:rPr>
              <w:t>Metric</w:t>
            </w:r>
          </w:p>
        </w:tc>
      </w:tr>
      <w:tr w:rsidR="00027CB5" w:rsidRPr="00A403D3" w14:paraId="604CB299"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5BAED63A" w14:textId="56B42A92" w:rsidR="00027CB5" w:rsidRPr="00A403D3" w:rsidRDefault="00027CB5" w:rsidP="00F95C7F">
            <w:r>
              <w:t xml:space="preserve">Supporters Club Committee </w:t>
            </w:r>
            <w:r w:rsidR="008D3265">
              <w:t>m</w:t>
            </w:r>
            <w:r>
              <w:t>eetings</w:t>
            </w:r>
          </w:p>
        </w:tc>
        <w:tc>
          <w:tcPr>
            <w:tcW w:w="2398" w:type="pct"/>
          </w:tcPr>
          <w:p w14:paraId="5D5D532C" w14:textId="20B54C1D" w:rsidR="00027CB5" w:rsidRPr="00A403D3" w:rsidRDefault="00027CB5" w:rsidP="00F95C7F">
            <w:pPr>
              <w:cnfStyle w:val="000000100000" w:firstRow="0" w:lastRow="0" w:firstColumn="0" w:lastColumn="0" w:oddVBand="0" w:evenVBand="0" w:oddHBand="1" w:evenHBand="0" w:firstRowFirstColumn="0" w:firstRowLastColumn="0" w:lastRowFirstColumn="0" w:lastRowLastColumn="0"/>
            </w:pPr>
            <w:r>
              <w:t>11</w:t>
            </w:r>
            <w:r w:rsidR="00BE35A1">
              <w:t xml:space="preserve"> (1 AGM, 2 executive committee, 8 open)</w:t>
            </w:r>
          </w:p>
        </w:tc>
      </w:tr>
      <w:tr w:rsidR="00DC11A7" w:rsidRPr="00A403D3" w14:paraId="745D5DF4"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119AB00D" w14:textId="77777777" w:rsidR="00DC11A7" w:rsidRPr="00A403D3" w:rsidRDefault="00DC11A7" w:rsidP="00F95C7F">
            <w:r w:rsidRPr="00A403D3">
              <w:t>Facebook members (End Q1 → End Q4)</w:t>
            </w:r>
          </w:p>
        </w:tc>
        <w:tc>
          <w:tcPr>
            <w:tcW w:w="2398" w:type="pct"/>
          </w:tcPr>
          <w:p w14:paraId="7660A315" w14:textId="77777777" w:rsidR="00DC11A7" w:rsidRPr="00A403D3" w:rsidRDefault="00DC11A7" w:rsidP="00F95C7F">
            <w:pPr>
              <w:cnfStyle w:val="000000000000" w:firstRow="0" w:lastRow="0" w:firstColumn="0" w:lastColumn="0" w:oddVBand="0" w:evenVBand="0" w:oddHBand="0" w:evenHBand="0" w:firstRowFirstColumn="0" w:firstRowLastColumn="0" w:lastRowFirstColumn="0" w:lastRowLastColumn="0"/>
            </w:pPr>
            <w:r w:rsidRPr="00A403D3">
              <w:t>1,998 → 2,274 (+276)</w:t>
            </w:r>
          </w:p>
        </w:tc>
      </w:tr>
      <w:tr w:rsidR="00DC11A7" w:rsidRPr="00A403D3" w14:paraId="1A1DDA75"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3CEA4743" w14:textId="77777777" w:rsidR="00DC11A7" w:rsidRPr="00A403D3" w:rsidRDefault="00DC11A7" w:rsidP="00F95C7F">
            <w:r w:rsidRPr="00A403D3">
              <w:t>Twitter/X followers (End Q1 → End Q4)</w:t>
            </w:r>
          </w:p>
        </w:tc>
        <w:tc>
          <w:tcPr>
            <w:tcW w:w="2398" w:type="pct"/>
          </w:tcPr>
          <w:p w14:paraId="02BCA54B"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1,383 → 1,364 (-19)</w:t>
            </w:r>
          </w:p>
        </w:tc>
      </w:tr>
      <w:tr w:rsidR="00DC11A7" w:rsidRPr="00A403D3" w14:paraId="2C1E40D8"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0652746E" w14:textId="77777777" w:rsidR="00DC11A7" w:rsidRPr="00A403D3" w:rsidRDefault="00DC11A7" w:rsidP="00F95C7F">
            <w:r w:rsidRPr="00A403D3">
              <w:t>Bluesky members (End Q1 → End Q4)</w:t>
            </w:r>
          </w:p>
        </w:tc>
        <w:tc>
          <w:tcPr>
            <w:tcW w:w="2398" w:type="pct"/>
          </w:tcPr>
          <w:p w14:paraId="244953BD" w14:textId="77777777" w:rsidR="00DC11A7" w:rsidRPr="00A403D3" w:rsidRDefault="00DC11A7" w:rsidP="00F95C7F">
            <w:pPr>
              <w:cnfStyle w:val="000000000000" w:firstRow="0" w:lastRow="0" w:firstColumn="0" w:lastColumn="0" w:oddVBand="0" w:evenVBand="0" w:oddHBand="0" w:evenHBand="0" w:firstRowFirstColumn="0" w:firstRowLastColumn="0" w:lastRowFirstColumn="0" w:lastRowLastColumn="0"/>
            </w:pPr>
            <w:r w:rsidRPr="00A403D3">
              <w:t>153 → 206 (+53)</w:t>
            </w:r>
          </w:p>
        </w:tc>
      </w:tr>
      <w:tr w:rsidR="00DC11A7" w:rsidRPr="00A403D3" w14:paraId="0146DA9E"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1FAA6760" w14:textId="77777777" w:rsidR="00DC11A7" w:rsidRPr="00A403D3" w:rsidRDefault="00DC11A7" w:rsidP="00F95C7F">
            <w:r w:rsidRPr="00A403D3">
              <w:t>Mailchimp subscribers (End Q1 → End Q4)</w:t>
            </w:r>
          </w:p>
        </w:tc>
        <w:tc>
          <w:tcPr>
            <w:tcW w:w="2398" w:type="pct"/>
          </w:tcPr>
          <w:p w14:paraId="674C9D99"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379 → 396 (+17)</w:t>
            </w:r>
          </w:p>
        </w:tc>
      </w:tr>
      <w:tr w:rsidR="00DC11A7" w:rsidRPr="00A403D3" w14:paraId="48F254C9"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163D7F52" w14:textId="77777777" w:rsidR="00DC11A7" w:rsidRPr="00A403D3" w:rsidRDefault="00DC11A7" w:rsidP="00F95C7F">
            <w:r w:rsidRPr="00A403D3">
              <w:t>Facebook engagement totals (annual)</w:t>
            </w:r>
          </w:p>
        </w:tc>
        <w:tc>
          <w:tcPr>
            <w:tcW w:w="2398" w:type="pct"/>
          </w:tcPr>
          <w:p w14:paraId="504A2ECD" w14:textId="77777777" w:rsidR="00DC11A7" w:rsidRPr="00A403D3" w:rsidRDefault="00DC11A7" w:rsidP="00F95C7F">
            <w:pPr>
              <w:cnfStyle w:val="000000000000" w:firstRow="0" w:lastRow="0" w:firstColumn="0" w:lastColumn="0" w:oddVBand="0" w:evenVBand="0" w:oddHBand="0" w:evenHBand="0" w:firstRowFirstColumn="0" w:firstRowLastColumn="0" w:lastRowFirstColumn="0" w:lastRowLastColumn="0"/>
            </w:pPr>
            <w:r w:rsidRPr="00A403D3">
              <w:t>1,644 posts; 5,847 comments; 21,523 reactions</w:t>
            </w:r>
          </w:p>
        </w:tc>
      </w:tr>
      <w:tr w:rsidR="00DC11A7" w:rsidRPr="00A403D3" w14:paraId="135619FB"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13AB912B" w14:textId="77777777" w:rsidR="00DC11A7" w:rsidRPr="00A403D3" w:rsidRDefault="00DC11A7" w:rsidP="00F95C7F">
            <w:r w:rsidRPr="00A403D3">
              <w:t>Income (annual total)</w:t>
            </w:r>
          </w:p>
        </w:tc>
        <w:tc>
          <w:tcPr>
            <w:tcW w:w="2398" w:type="pct"/>
          </w:tcPr>
          <w:p w14:paraId="37ECD28C"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£25,292.45</w:t>
            </w:r>
          </w:p>
        </w:tc>
      </w:tr>
      <w:tr w:rsidR="00E07BE1" w:rsidRPr="00A403D3" w14:paraId="1A52A38E"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5710992C" w14:textId="6CD1422D" w:rsidR="00E07BE1" w:rsidRPr="00A403D3" w:rsidRDefault="00E07BE1" w:rsidP="00F95C7F">
            <w:r>
              <w:t>Quiz nights (</w:t>
            </w:r>
            <w:r w:rsidR="00B63C85">
              <w:t>n</w:t>
            </w:r>
            <w:r>
              <w:t xml:space="preserve"> = 12)</w:t>
            </w:r>
          </w:p>
        </w:tc>
        <w:tc>
          <w:tcPr>
            <w:tcW w:w="2398" w:type="pct"/>
          </w:tcPr>
          <w:p w14:paraId="32D11656" w14:textId="6CAF3F1C" w:rsidR="00E07BE1" w:rsidRPr="00A403D3" w:rsidRDefault="00E07BE1" w:rsidP="00F95C7F">
            <w:pPr>
              <w:cnfStyle w:val="000000000000" w:firstRow="0" w:lastRow="0" w:firstColumn="0" w:lastColumn="0" w:oddVBand="0" w:evenVBand="0" w:oddHBand="0" w:evenHBand="0" w:firstRowFirstColumn="0" w:firstRowLastColumn="0" w:lastRowFirstColumn="0" w:lastRowLastColumn="0"/>
            </w:pPr>
            <w:r w:rsidRPr="00E07BE1">
              <w:t>£4,891</w:t>
            </w:r>
          </w:p>
        </w:tc>
      </w:tr>
      <w:tr w:rsidR="00DC11A7" w:rsidRPr="00A403D3" w14:paraId="6098F052"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692F72D8" w14:textId="77777777" w:rsidR="00DC11A7" w:rsidRPr="00A403D3" w:rsidRDefault="00DC11A7" w:rsidP="00F95C7F">
            <w:r w:rsidRPr="00A403D3">
              <w:t>Expenditures (annual total)</w:t>
            </w:r>
          </w:p>
        </w:tc>
        <w:tc>
          <w:tcPr>
            <w:tcW w:w="2398" w:type="pct"/>
          </w:tcPr>
          <w:p w14:paraId="5C55BF4E"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£26,112.93</w:t>
            </w:r>
          </w:p>
        </w:tc>
      </w:tr>
      <w:tr w:rsidR="00AC0810" w:rsidRPr="00A403D3" w14:paraId="4BF6460F"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2F092E56" w14:textId="3F82F15D" w:rsidR="00AC0810" w:rsidRPr="00A403D3" w:rsidRDefault="00AC0810" w:rsidP="00F95C7F">
            <w:r>
              <w:t>Donations to LFC (equipment/materials, etc</w:t>
            </w:r>
            <w:r w:rsidR="0044121A">
              <w:t>.</w:t>
            </w:r>
            <w:r>
              <w:t>)</w:t>
            </w:r>
          </w:p>
        </w:tc>
        <w:tc>
          <w:tcPr>
            <w:tcW w:w="2398" w:type="pct"/>
          </w:tcPr>
          <w:p w14:paraId="0E436E97" w14:textId="73B7F6BA" w:rsidR="00AC0810" w:rsidRPr="00A403D3" w:rsidRDefault="00AC0810" w:rsidP="00F95C7F">
            <w:pPr>
              <w:cnfStyle w:val="000000000000" w:firstRow="0" w:lastRow="0" w:firstColumn="0" w:lastColumn="0" w:oddVBand="0" w:evenVBand="0" w:oddHBand="0" w:evenHBand="0" w:firstRowFirstColumn="0" w:firstRowLastColumn="0" w:lastRowFirstColumn="0" w:lastRowLastColumn="0"/>
            </w:pPr>
            <w:r w:rsidRPr="00A403D3">
              <w:t>£</w:t>
            </w:r>
            <w:r>
              <w:t>18,000+</w:t>
            </w:r>
          </w:p>
        </w:tc>
      </w:tr>
      <w:tr w:rsidR="00DC11A7" w:rsidRPr="00A403D3" w14:paraId="55112DFF"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66486396" w14:textId="77777777" w:rsidR="00DC11A7" w:rsidRPr="00A403D3" w:rsidRDefault="00DC11A7" w:rsidP="00F95C7F">
            <w:r w:rsidRPr="00A403D3">
              <w:t>Net cash flow (annual total)</w:t>
            </w:r>
          </w:p>
        </w:tc>
        <w:tc>
          <w:tcPr>
            <w:tcW w:w="2398" w:type="pct"/>
          </w:tcPr>
          <w:p w14:paraId="02215D9E"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£-759.16</w:t>
            </w:r>
          </w:p>
        </w:tc>
      </w:tr>
      <w:tr w:rsidR="00B51547" w:rsidRPr="00A403D3" w14:paraId="1A462273"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69F42DBC" w14:textId="7E386DFE" w:rsidR="00B51547" w:rsidRPr="00A403D3" w:rsidRDefault="00B51547" w:rsidP="00F95C7F">
            <w:r>
              <w:t>Year ending account balance</w:t>
            </w:r>
          </w:p>
        </w:tc>
        <w:tc>
          <w:tcPr>
            <w:tcW w:w="2398" w:type="pct"/>
          </w:tcPr>
          <w:p w14:paraId="578B68F3" w14:textId="0754AB6E" w:rsidR="00B51547" w:rsidRPr="00A403D3" w:rsidRDefault="00DB49F0" w:rsidP="00F95C7F">
            <w:pPr>
              <w:cnfStyle w:val="000000000000" w:firstRow="0" w:lastRow="0" w:firstColumn="0" w:lastColumn="0" w:oddVBand="0" w:evenVBand="0" w:oddHBand="0" w:evenHBand="0" w:firstRowFirstColumn="0" w:firstRowLastColumn="0" w:lastRowFirstColumn="0" w:lastRowLastColumn="0"/>
            </w:pPr>
            <w:r w:rsidRPr="00DB49F0">
              <w:t>£11,367.82</w:t>
            </w:r>
          </w:p>
        </w:tc>
      </w:tr>
      <w:tr w:rsidR="00DC11A7" w:rsidRPr="00A403D3" w14:paraId="24B1C06D"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0F1E60F1" w14:textId="77777777" w:rsidR="00DC11A7" w:rsidRPr="00A403D3" w:rsidRDefault="00DC11A7" w:rsidP="00F95C7F">
            <w:r w:rsidRPr="00A403D3">
              <w:t>Volunteer labour (estimated annual hours)</w:t>
            </w:r>
          </w:p>
        </w:tc>
        <w:tc>
          <w:tcPr>
            <w:tcW w:w="2398" w:type="pct"/>
          </w:tcPr>
          <w:p w14:paraId="1B79A4BE" w14:textId="77777777" w:rsidR="00DC11A7" w:rsidRPr="00A403D3" w:rsidRDefault="00DC11A7" w:rsidP="00F95C7F">
            <w:pPr>
              <w:cnfStyle w:val="000000100000" w:firstRow="0" w:lastRow="0" w:firstColumn="0" w:lastColumn="0" w:oddVBand="0" w:evenVBand="0" w:oddHBand="1" w:evenHBand="0" w:firstRowFirstColumn="0" w:firstRowLastColumn="0" w:lastRowFirstColumn="0" w:lastRowLastColumn="0"/>
            </w:pPr>
            <w:r w:rsidRPr="00A403D3">
              <w:t>3,635.25 hours</w:t>
            </w:r>
          </w:p>
        </w:tc>
      </w:tr>
      <w:tr w:rsidR="00307E61" w:rsidRPr="00A403D3" w14:paraId="33B274E2" w14:textId="77777777" w:rsidTr="0044121A">
        <w:tc>
          <w:tcPr>
            <w:cnfStyle w:val="001000000000" w:firstRow="0" w:lastRow="0" w:firstColumn="1" w:lastColumn="0" w:oddVBand="0" w:evenVBand="0" w:oddHBand="0" w:evenHBand="0" w:firstRowFirstColumn="0" w:firstRowLastColumn="0" w:lastRowFirstColumn="0" w:lastRowLastColumn="0"/>
            <w:tcW w:w="2602" w:type="pct"/>
          </w:tcPr>
          <w:p w14:paraId="314E4CE5" w14:textId="3E871A0F" w:rsidR="00307E61" w:rsidRPr="00A403D3" w:rsidRDefault="00307E61" w:rsidP="00307E61">
            <w:r w:rsidRPr="00A403D3">
              <w:t>Community &amp; Charitable Beneficiaries</w:t>
            </w:r>
          </w:p>
        </w:tc>
        <w:tc>
          <w:tcPr>
            <w:tcW w:w="2398" w:type="pct"/>
          </w:tcPr>
          <w:p w14:paraId="23E8C3F6" w14:textId="547482D2" w:rsidR="00307E61" w:rsidRPr="00A403D3" w:rsidRDefault="00307E61" w:rsidP="00307E61">
            <w:pPr>
              <w:cnfStyle w:val="000000000000" w:firstRow="0" w:lastRow="0" w:firstColumn="0" w:lastColumn="0" w:oddVBand="0" w:evenVBand="0" w:oddHBand="0" w:evenHBand="0" w:firstRowFirstColumn="0" w:firstRowLastColumn="0" w:lastRowFirstColumn="0" w:lastRowLastColumn="0"/>
            </w:pPr>
            <w:r w:rsidRPr="00A403D3">
              <w:t>15+ local organisations</w:t>
            </w:r>
          </w:p>
        </w:tc>
      </w:tr>
      <w:tr w:rsidR="00307E61" w:rsidRPr="00A403D3" w14:paraId="123DADE7" w14:textId="77777777" w:rsidTr="0044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pct"/>
          </w:tcPr>
          <w:p w14:paraId="522FE04D" w14:textId="460CCE93" w:rsidR="00307E61" w:rsidRPr="00A403D3" w:rsidRDefault="00307E61" w:rsidP="00307E61">
            <w:r w:rsidRPr="00A403D3">
              <w:t>Estimated value of volunteer</w:t>
            </w:r>
          </w:p>
        </w:tc>
        <w:tc>
          <w:tcPr>
            <w:tcW w:w="2398" w:type="pct"/>
          </w:tcPr>
          <w:p w14:paraId="11BCC77C" w14:textId="1928C9F3" w:rsidR="00307E61" w:rsidRPr="00A403D3" w:rsidRDefault="00962AD7" w:rsidP="00307E61">
            <w:pPr>
              <w:cnfStyle w:val="000000100000" w:firstRow="0" w:lastRow="0" w:firstColumn="0" w:lastColumn="0" w:oddVBand="0" w:evenVBand="0" w:oddHBand="1" w:evenHBand="0" w:firstRowFirstColumn="0" w:firstRowLastColumn="0" w:lastRowFirstColumn="0" w:lastRowLastColumn="0"/>
            </w:pPr>
            <w:r w:rsidRPr="00A403D3">
              <w:t>£43,623</w:t>
            </w:r>
            <w:r>
              <w:t xml:space="preserve"> (</w:t>
            </w:r>
            <w:r w:rsidR="00307E61" w:rsidRPr="00A403D3">
              <w:t>£33,108</w:t>
            </w:r>
            <w:r>
              <w:t xml:space="preserve"> </w:t>
            </w:r>
            <w:r w:rsidR="00307E61" w:rsidRPr="00A403D3">
              <w:t>conservative estimate)</w:t>
            </w:r>
            <w:r>
              <w:t xml:space="preserve">  </w:t>
            </w:r>
          </w:p>
        </w:tc>
      </w:tr>
    </w:tbl>
    <w:p w14:paraId="347E9348" w14:textId="77777777" w:rsidR="00AC0810" w:rsidRPr="00AC0810" w:rsidRDefault="00AC0810" w:rsidP="006D45D1">
      <w:pPr>
        <w:spacing w:after="0" w:line="240" w:lineRule="auto"/>
      </w:pPr>
    </w:p>
    <w:p w14:paraId="48336A79" w14:textId="77886FEE" w:rsidR="0089415F" w:rsidRDefault="00000000" w:rsidP="0089415F">
      <w:pPr>
        <w:pStyle w:val="Heading2"/>
        <w:spacing w:before="0" w:line="240" w:lineRule="auto"/>
        <w:rPr>
          <w:rFonts w:ascii="Garamond" w:hAnsi="Garamond"/>
          <w:color w:val="auto"/>
        </w:rPr>
      </w:pPr>
      <w:r w:rsidRPr="00A403D3">
        <w:rPr>
          <w:rFonts w:ascii="Garamond" w:hAnsi="Garamond"/>
          <w:color w:val="auto"/>
        </w:rPr>
        <w:t>Executive Summary</w:t>
      </w:r>
    </w:p>
    <w:p w14:paraId="1B30685A" w14:textId="77777777" w:rsidR="0089415F" w:rsidRPr="0089415F" w:rsidRDefault="0089415F" w:rsidP="0089415F">
      <w:pPr>
        <w:spacing w:after="0" w:line="240" w:lineRule="auto"/>
      </w:pPr>
    </w:p>
    <w:p w14:paraId="7EE79AB5" w14:textId="705BDBB8" w:rsidR="0062473D" w:rsidRPr="00A403D3" w:rsidRDefault="00794037" w:rsidP="0062473D">
      <w:pPr>
        <w:spacing w:after="0" w:line="240" w:lineRule="auto"/>
      </w:pPr>
      <w:r w:rsidRPr="00A403D3">
        <w:t xml:space="preserve">This Annual Report consolidates quantitative results and qualitative narrative evidence </w:t>
      </w:r>
      <w:r w:rsidR="008045C9">
        <w:t>across</w:t>
      </w:r>
      <w:r w:rsidRPr="00A403D3">
        <w:t xml:space="preserve"> all four Lewes FC Supporters Club </w:t>
      </w:r>
      <w:r w:rsidR="009B1CB8">
        <w:t xml:space="preserve">2025 </w:t>
      </w:r>
      <w:r w:rsidRPr="00A403D3">
        <w:t>Quarterly Reports.</w:t>
      </w:r>
      <w:r>
        <w:t xml:space="preserve"> By all accounts</w:t>
      </w:r>
      <w:r w:rsidR="0089415F">
        <w:t>,</w:t>
      </w:r>
      <w:r>
        <w:t xml:space="preserve"> </w:t>
      </w:r>
      <w:r w:rsidR="0089415F">
        <w:t xml:space="preserve">2025 </w:t>
      </w:r>
      <w:r w:rsidRPr="00A403D3">
        <w:t xml:space="preserve">was a year of sustained </w:t>
      </w:r>
      <w:r w:rsidR="008045C9">
        <w:t xml:space="preserve">membership </w:t>
      </w:r>
      <w:r w:rsidRPr="00A403D3">
        <w:t xml:space="preserve">growth, </w:t>
      </w:r>
      <w:r w:rsidR="008045C9" w:rsidRPr="00A403D3">
        <w:t>strong financial stewardship</w:t>
      </w:r>
      <w:r w:rsidR="008045C9">
        <w:t>,</w:t>
      </w:r>
      <w:r w:rsidR="008045C9" w:rsidRPr="00A403D3">
        <w:t xml:space="preserve"> </w:t>
      </w:r>
      <w:r w:rsidR="0089415F">
        <w:t xml:space="preserve">strong </w:t>
      </w:r>
      <w:r w:rsidRPr="00A403D3">
        <w:t xml:space="preserve">community engagement, and substantial volunteer </w:t>
      </w:r>
      <w:r w:rsidR="008045C9">
        <w:t xml:space="preserve">commitment and </w:t>
      </w:r>
      <w:r w:rsidRPr="00A403D3">
        <w:t>contribution</w:t>
      </w:r>
      <w:r w:rsidR="008045C9">
        <w:t>s</w:t>
      </w:r>
      <w:r>
        <w:t>.</w:t>
      </w:r>
      <w:r w:rsidR="00D43343">
        <w:t xml:space="preserve"> </w:t>
      </w:r>
      <w:r w:rsidR="009B1CB8">
        <w:t xml:space="preserve">Over the year </w:t>
      </w:r>
      <w:r w:rsidRPr="00A403D3">
        <w:t>the Club increased its overall membership reach, maintained exceptionally high levels of volunteer participation</w:t>
      </w:r>
      <w:r w:rsidR="0062473D">
        <w:t xml:space="preserve"> (i.e., </w:t>
      </w:r>
      <w:r w:rsidR="0062473D" w:rsidRPr="00A403D3">
        <w:t>weekly Dripping Pan maintenance</w:t>
      </w:r>
      <w:r w:rsidR="008045C9">
        <w:t xml:space="preserve">, </w:t>
      </w:r>
      <w:r w:rsidR="0062473D" w:rsidRPr="00A403D3">
        <w:t>support</w:t>
      </w:r>
      <w:r w:rsidR="0062473D">
        <w:t>ing</w:t>
      </w:r>
      <w:r w:rsidR="0062473D" w:rsidRPr="00A403D3">
        <w:t xml:space="preserve"> </w:t>
      </w:r>
      <w:r w:rsidR="0055109C">
        <w:t>Matchday</w:t>
      </w:r>
      <w:r w:rsidR="0062473D" w:rsidRPr="00A403D3">
        <w:t xml:space="preserve"> operations across men’s and women’s fixtures</w:t>
      </w:r>
      <w:r w:rsidR="008045C9">
        <w:t>, and community</w:t>
      </w:r>
      <w:r w:rsidR="0089415F">
        <w:t xml:space="preserve"> events</w:t>
      </w:r>
      <w:r w:rsidR="0062473D">
        <w:t>)</w:t>
      </w:r>
      <w:r w:rsidRPr="00A403D3">
        <w:t xml:space="preserve">, </w:t>
      </w:r>
      <w:r w:rsidR="0062473D">
        <w:t xml:space="preserve">and </w:t>
      </w:r>
      <w:r w:rsidRPr="00A403D3">
        <w:t xml:space="preserve">delivered </w:t>
      </w:r>
      <w:r w:rsidR="0062473D" w:rsidRPr="00A403D3">
        <w:t xml:space="preserve">and generated consistent fundraising income </w:t>
      </w:r>
      <w:r w:rsidRPr="00A403D3">
        <w:t xml:space="preserve">for both the football club and local </w:t>
      </w:r>
      <w:r w:rsidR="0062473D">
        <w:t xml:space="preserve">charitable </w:t>
      </w:r>
      <w:r w:rsidRPr="00A403D3">
        <w:t>causes</w:t>
      </w:r>
      <w:r w:rsidR="0062473D">
        <w:t>.</w:t>
      </w:r>
    </w:p>
    <w:p w14:paraId="79B2CBC9" w14:textId="77777777" w:rsidR="0089415F" w:rsidRDefault="0089415F" w:rsidP="002D2D65">
      <w:pPr>
        <w:spacing w:after="0" w:line="240" w:lineRule="auto"/>
      </w:pPr>
    </w:p>
    <w:p w14:paraId="76D65A62" w14:textId="4B931CDB" w:rsidR="00E07BE1" w:rsidRDefault="00000000" w:rsidP="002D2D65">
      <w:pPr>
        <w:spacing w:after="0" w:line="240" w:lineRule="auto"/>
      </w:pPr>
      <w:r w:rsidRPr="00A403D3">
        <w:t xml:space="preserve">Facebook membership grew from 1,945 at the end of 2024 to 2,274 by December 2025 (+329, +16.9%). Bluesky emerged as a </w:t>
      </w:r>
      <w:r w:rsidR="008045C9">
        <w:t>meaningful additional</w:t>
      </w:r>
      <w:r w:rsidRPr="00A403D3">
        <w:t xml:space="preserve"> platform, while Mailchimp subscriptions increased steadily </w:t>
      </w:r>
      <w:r w:rsidR="008045C9">
        <w:t xml:space="preserve">and </w:t>
      </w:r>
      <w:r w:rsidR="006F31F1" w:rsidRPr="00A403D3">
        <w:t>engagement remained strong with open rates frequently exceeding 50%</w:t>
      </w:r>
      <w:r w:rsidR="008045C9">
        <w:t xml:space="preserve"> </w:t>
      </w:r>
      <w:r w:rsidRPr="00A403D3">
        <w:t xml:space="preserve">across the year. </w:t>
      </w:r>
      <w:r w:rsidR="008045C9">
        <w:t xml:space="preserve">As expected, </w:t>
      </w:r>
      <w:r w:rsidRPr="00A403D3">
        <w:t>Twitter/X showed a gradual decline</w:t>
      </w:r>
      <w:r w:rsidR="008045C9">
        <w:t xml:space="preserve"> </w:t>
      </w:r>
      <w:r w:rsidRPr="00A403D3">
        <w:t>mirroring wider platform trends</w:t>
      </w:r>
      <w:r w:rsidR="009B1CB8" w:rsidRPr="00A403D3">
        <w:t>.</w:t>
      </w:r>
      <w:r w:rsidR="009B1CB8">
        <w:t xml:space="preserve"> </w:t>
      </w:r>
      <w:r w:rsidR="008045C9">
        <w:t xml:space="preserve">Throughout the year </w:t>
      </w:r>
      <w:r w:rsidRPr="00A403D3">
        <w:t>Facebook engagement exceeded hundreds of posts per quarter, with tens of thousands of page views and consistent demographic patterns.</w:t>
      </w:r>
      <w:r w:rsidR="002D2D65">
        <w:t xml:space="preserve"> </w:t>
      </w:r>
    </w:p>
    <w:p w14:paraId="42BF86EE" w14:textId="77777777" w:rsidR="00E07BE1" w:rsidRDefault="00E07BE1" w:rsidP="002D2D65">
      <w:pPr>
        <w:spacing w:after="0" w:line="240" w:lineRule="auto"/>
      </w:pPr>
    </w:p>
    <w:p w14:paraId="7D4C1B72" w14:textId="78E1B3CA" w:rsidR="00E07BE1" w:rsidRDefault="009B1CB8" w:rsidP="002D2D65">
      <w:pPr>
        <w:spacing w:after="0" w:line="240" w:lineRule="auto"/>
      </w:pPr>
      <w:r>
        <w:lastRenderedPageBreak/>
        <w:t>Financially, a</w:t>
      </w:r>
      <w:r w:rsidR="002D2D65" w:rsidRPr="00A403D3">
        <w:t xml:space="preserve">cross all four quarters, the Supporters Club generated in excess of £25,000 </w:t>
      </w:r>
      <w:r w:rsidR="0089415F" w:rsidRPr="00A403D3">
        <w:t xml:space="preserve">in income through </w:t>
      </w:r>
      <w:r w:rsidR="0055109C">
        <w:t>matchday</w:t>
      </w:r>
      <w:r w:rsidR="0089415F" w:rsidRPr="00A403D3">
        <w:t xml:space="preserve"> fundraising, quizzes, sponsored events, and community activities</w:t>
      </w:r>
      <w:r w:rsidR="002D2D65" w:rsidRPr="00A403D3">
        <w:t>. Expenditure patterns reflect both routine operating costs and deliberate strategic investments</w:t>
      </w:r>
      <w:r w:rsidR="0089415F">
        <w:t xml:space="preserve"> </w:t>
      </w:r>
      <w:r w:rsidR="002D2D65" w:rsidRPr="00A403D3">
        <w:t xml:space="preserve">including significant one-off donations to </w:t>
      </w:r>
      <w:r w:rsidR="00E07BE1" w:rsidRPr="00A403D3">
        <w:t>Lewes</w:t>
      </w:r>
      <w:r w:rsidR="0089415F" w:rsidRPr="00A403D3">
        <w:t xml:space="preserve"> FC</w:t>
      </w:r>
      <w:r w:rsidR="00E07BE1">
        <w:t>,</w:t>
      </w:r>
      <w:r w:rsidR="0089415F" w:rsidRPr="00A403D3">
        <w:t xml:space="preserve"> and </w:t>
      </w:r>
      <w:r w:rsidR="0089415F">
        <w:t xml:space="preserve">for club-designated </w:t>
      </w:r>
      <w:r w:rsidR="0089415F" w:rsidRPr="00A403D3">
        <w:t>Dripping Pan</w:t>
      </w:r>
      <w:r w:rsidR="0089415F">
        <w:t xml:space="preserve"> projects</w:t>
      </w:r>
      <w:r w:rsidR="006D45D1">
        <w:t xml:space="preserve"> of over </w:t>
      </w:r>
      <w:r w:rsidR="006D45D1" w:rsidRPr="00A403D3">
        <w:t>£</w:t>
      </w:r>
      <w:r w:rsidR="006D45D1">
        <w:t>18,000</w:t>
      </w:r>
      <w:r w:rsidR="002D2D65" w:rsidRPr="00A403D3">
        <w:t xml:space="preserve">. The year closed with a stable account balance of </w:t>
      </w:r>
      <w:r w:rsidR="002D3498" w:rsidRPr="002D3498">
        <w:t>£11,367.82</w:t>
      </w:r>
      <w:r w:rsidR="002D2D65" w:rsidRPr="002D2D65">
        <w:t>.</w:t>
      </w:r>
      <w:r w:rsidR="002D2D65" w:rsidRPr="00A403D3">
        <w:t xml:space="preserve"> </w:t>
      </w:r>
    </w:p>
    <w:p w14:paraId="44A31E10" w14:textId="77777777" w:rsidR="002D2D65" w:rsidRDefault="002D2D65" w:rsidP="00F95C7F">
      <w:pPr>
        <w:spacing w:after="0" w:line="240" w:lineRule="auto"/>
      </w:pPr>
    </w:p>
    <w:p w14:paraId="3257D987" w14:textId="77777777" w:rsidR="00962AD7" w:rsidRDefault="00962AD7" w:rsidP="00962AD7">
      <w:pPr>
        <w:spacing w:after="0" w:line="240" w:lineRule="auto"/>
      </w:pPr>
      <w:r w:rsidRPr="00A403D3">
        <w:t xml:space="preserve">Volunteer labour remained the Supporters Club’s largest non-cash contribution. Based on reported </w:t>
      </w:r>
    </w:p>
    <w:p w14:paraId="45C7C9A5" w14:textId="22AD725A" w:rsidR="0089415F" w:rsidRDefault="00962AD7" w:rsidP="00F95C7F">
      <w:pPr>
        <w:spacing w:after="0" w:line="240" w:lineRule="auto"/>
      </w:pPr>
      <w:r w:rsidRPr="00A403D3">
        <w:t xml:space="preserve">maintenance totals, scheduled </w:t>
      </w:r>
      <w:r w:rsidR="0055109C">
        <w:t>Matchday</w:t>
      </w:r>
      <w:r w:rsidRPr="00A403D3">
        <w:t xml:space="preserve"> volunteer hours, and recorded community activity hours, a conservative annual estimate is 3,635.25 </w:t>
      </w:r>
      <w:r w:rsidR="0089415F">
        <w:t xml:space="preserve">total </w:t>
      </w:r>
      <w:r w:rsidRPr="00A403D3">
        <w:t>volunteer hours. At £12.00/hour (conservative valuation), this equates to approximately £43,623</w:t>
      </w:r>
      <w:r w:rsidR="006F31F1">
        <w:t xml:space="preserve"> (conservatively, </w:t>
      </w:r>
      <w:r w:rsidR="006F31F1" w:rsidRPr="00A403D3">
        <w:t>£30,888</w:t>
      </w:r>
      <w:r w:rsidR="006F31F1">
        <w:t>)</w:t>
      </w:r>
      <w:r w:rsidRPr="00A403D3">
        <w:t xml:space="preserve"> of community value. </w:t>
      </w:r>
    </w:p>
    <w:p w14:paraId="4955F7F5" w14:textId="002F75C7" w:rsidR="00F2241A" w:rsidRPr="00A403D3" w:rsidRDefault="003A2571" w:rsidP="00F2241A">
      <w:pPr>
        <w:spacing w:after="0" w:line="240" w:lineRule="auto"/>
      </w:pPr>
      <w:r w:rsidRPr="00A403D3">
        <w:br/>
      </w:r>
      <w:r w:rsidR="00A132E1">
        <w:t xml:space="preserve">In 2025 the </w:t>
      </w:r>
      <w:r w:rsidR="00A132E1" w:rsidRPr="00A403D3">
        <w:t>defining features of Supporters Club culture</w:t>
      </w:r>
      <w:r w:rsidR="00A132E1">
        <w:t xml:space="preserve"> remained</w:t>
      </w:r>
      <w:r w:rsidR="00A132E1" w:rsidRPr="00A403D3">
        <w:t xml:space="preserve"> </w:t>
      </w:r>
      <w:r w:rsidR="00A132E1">
        <w:t>its</w:t>
      </w:r>
      <w:r w:rsidR="0089415F" w:rsidRPr="00A403D3">
        <w:t xml:space="preserve"> vital role in maintaining the Dripping Pan, supporting Lewes FC financially, and strengthening local charitable networks</w:t>
      </w:r>
      <w:r w:rsidR="00A132E1">
        <w:t>.</w:t>
      </w:r>
      <w:r w:rsidR="00F2241A">
        <w:t xml:space="preserve"> E</w:t>
      </w:r>
      <w:r w:rsidR="00F2241A" w:rsidRPr="00A403D3">
        <w:t>vidence from social media narratives, volunteer reflections, and event write-ups highlight</w:t>
      </w:r>
      <w:r w:rsidR="00F2241A">
        <w:t xml:space="preserve"> </w:t>
      </w:r>
      <w:r w:rsidR="00F2241A" w:rsidRPr="00A403D3">
        <w:t xml:space="preserve">a strong sense of belonging, </w:t>
      </w:r>
      <w:r w:rsidR="00F2241A">
        <w:t xml:space="preserve">inclusivity, humour and camaraderie, transparent governance, </w:t>
      </w:r>
      <w:r w:rsidR="00F2241A" w:rsidRPr="00A403D3">
        <w:t>civic pride, and historical stewardship.</w:t>
      </w:r>
    </w:p>
    <w:p w14:paraId="7A166CB9" w14:textId="402D05B3" w:rsidR="00F2241A" w:rsidRPr="00A403D3" w:rsidRDefault="00F2241A" w:rsidP="00F95C7F">
      <w:pPr>
        <w:spacing w:after="0" w:line="240" w:lineRule="auto"/>
      </w:pPr>
    </w:p>
    <w:p w14:paraId="6C4643A9" w14:textId="77777777"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1. Supporters Club Committee Meetings</w:t>
      </w:r>
    </w:p>
    <w:p w14:paraId="61C7D3F8" w14:textId="77777777" w:rsidR="00003849" w:rsidRDefault="00003849" w:rsidP="00F95C7F">
      <w:pPr>
        <w:spacing w:after="0" w:line="240" w:lineRule="auto"/>
      </w:pPr>
    </w:p>
    <w:p w14:paraId="06B5EF42" w14:textId="3CF257C2" w:rsidR="003302B6" w:rsidRPr="00A403D3" w:rsidRDefault="00000000" w:rsidP="00F95C7F">
      <w:pPr>
        <w:spacing w:after="0" w:line="240" w:lineRule="auto"/>
      </w:pPr>
      <w:r w:rsidRPr="00A403D3">
        <w:t xml:space="preserve">Throughout 2025, the Supporters Club held </w:t>
      </w:r>
      <w:r w:rsidR="002B6EE5" w:rsidRPr="00A403D3">
        <w:t xml:space="preserve">11 </w:t>
      </w:r>
      <w:r w:rsidRPr="00A403D3">
        <w:t xml:space="preserve">regular committee meetings, including the AGM and a mix of open and </w:t>
      </w:r>
      <w:r w:rsidR="00003849">
        <w:t xml:space="preserve">small </w:t>
      </w:r>
      <w:r w:rsidRPr="00A403D3">
        <w:t xml:space="preserve">executive </w:t>
      </w:r>
      <w:r w:rsidR="00003849">
        <w:t xml:space="preserve">committee </w:t>
      </w:r>
      <w:r w:rsidRPr="00A403D3">
        <w:t>sessions. Meetings were predominantly hybrid, supporting both in</w:t>
      </w:r>
      <w:r w:rsidRPr="00A403D3">
        <w:rPr>
          <w:rFonts w:ascii="Cambria Math" w:hAnsi="Cambria Math" w:cs="Cambria Math"/>
        </w:rPr>
        <w:t>‑</w:t>
      </w:r>
      <w:r w:rsidRPr="00A403D3">
        <w:t>person and online participation, and were well attended across the year</w:t>
      </w:r>
      <w:r w:rsidR="00DE03FB">
        <w:t xml:space="preserve"> </w:t>
      </w:r>
      <w:r w:rsidR="00DE03FB" w:rsidRPr="00A403D3">
        <w:t>with attendance typically in the mid-teens to mid-twenties</w:t>
      </w:r>
      <w:r w:rsidRPr="00A403D3">
        <w:t>.</w:t>
      </w:r>
      <w:r w:rsidR="00003849">
        <w:t xml:space="preserve"> </w:t>
      </w:r>
      <w:r w:rsidR="00DE03FB" w:rsidRPr="00A403D3">
        <w:t>Across quarters, meeting notes and minutes indicate an active governance culture focused on practical decision-making (finances, fundraising priorities, major purchases/donations, and operational support for the Dripping Pan)</w:t>
      </w:r>
      <w:r w:rsidR="00537E22">
        <w:t xml:space="preserve"> </w:t>
      </w:r>
      <w:r w:rsidR="00537E22" w:rsidRPr="00A403D3">
        <w:t>and the Club’s relationship with Lewes FC.</w:t>
      </w:r>
      <w:r w:rsidR="00537E22">
        <w:t xml:space="preserve"> </w:t>
      </w:r>
      <w:r w:rsidR="00DE03FB" w:rsidRPr="00A403D3">
        <w:t>The consistent presence of agendas/minutes in the quarterly records indicates transparency</w:t>
      </w:r>
      <w:r w:rsidR="003602FB">
        <w:t xml:space="preserve">, </w:t>
      </w:r>
      <w:r w:rsidR="00DE03FB" w:rsidRPr="00A403D3">
        <w:t>continuity in club administration</w:t>
      </w:r>
      <w:r w:rsidR="003602FB">
        <w:t xml:space="preserve">, </w:t>
      </w:r>
      <w:r w:rsidR="00985032" w:rsidRPr="00A403D3">
        <w:t>and sustained member engagement.</w:t>
      </w:r>
    </w:p>
    <w:p w14:paraId="50DF581E" w14:textId="77777777" w:rsidR="003602FB" w:rsidRDefault="003602FB" w:rsidP="00F95C7F">
      <w:pPr>
        <w:pStyle w:val="Heading2"/>
        <w:spacing w:before="0" w:line="240" w:lineRule="auto"/>
        <w:rPr>
          <w:rFonts w:ascii="Garamond" w:hAnsi="Garamond"/>
          <w:color w:val="auto"/>
        </w:rPr>
      </w:pPr>
    </w:p>
    <w:p w14:paraId="04772A33" w14:textId="7C2C7708"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2. Supporters Club Membership by Platform</w:t>
      </w:r>
    </w:p>
    <w:p w14:paraId="0EB7B5E3" w14:textId="77777777" w:rsidR="003602FB" w:rsidRDefault="003602FB" w:rsidP="00F95C7F">
      <w:pPr>
        <w:spacing w:after="0" w:line="240" w:lineRule="auto"/>
      </w:pPr>
    </w:p>
    <w:p w14:paraId="344CED33" w14:textId="64DF6EEA" w:rsidR="00D170DD" w:rsidRPr="00A403D3" w:rsidRDefault="00000000" w:rsidP="00D170DD">
      <w:pPr>
        <w:spacing w:after="0" w:line="240" w:lineRule="auto"/>
      </w:pPr>
      <w:r w:rsidRPr="00A403D3">
        <w:t xml:space="preserve">Membership data show steady growth across </w:t>
      </w:r>
      <w:r w:rsidR="00D170DD">
        <w:t xml:space="preserve">digital platforms </w:t>
      </w:r>
      <w:r w:rsidRPr="00A403D3">
        <w:t>led by Facebook and supported by gradual increases in Mailchimp subscriptions</w:t>
      </w:r>
      <w:r w:rsidR="00E92A3F">
        <w:t xml:space="preserve"> with </w:t>
      </w:r>
      <w:r w:rsidR="00E92A3F" w:rsidRPr="00A403D3">
        <w:t>open rates regularly exceed</w:t>
      </w:r>
      <w:r w:rsidR="00E92A3F">
        <w:t>ing</w:t>
      </w:r>
      <w:r w:rsidR="00E92A3F" w:rsidRPr="00A403D3">
        <w:t xml:space="preserve"> 50%, indicating a highly engaged core membership.</w:t>
      </w:r>
      <w:r w:rsidR="00E92A3F">
        <w:t xml:space="preserve"> </w:t>
      </w:r>
      <w:r w:rsidRPr="00A403D3">
        <w:t>Facebook membership rose each quarter, with the most pronounced gains in Q2 and Q4</w:t>
      </w:r>
      <w:r w:rsidR="00D170DD">
        <w:t>, growing</w:t>
      </w:r>
      <w:r w:rsidR="00D170DD" w:rsidRPr="00A403D3">
        <w:t xml:space="preserve"> from 1,998 at the end of Q1 to 2,274 by year-end, with consistently high posting, commenting, and reaction volumes across all quarters</w:t>
      </w:r>
      <w:r w:rsidR="00D170DD">
        <w:t xml:space="preserve"> driven primarily by members</w:t>
      </w:r>
      <w:r w:rsidRPr="00A403D3">
        <w:t>.</w:t>
      </w:r>
      <w:r w:rsidR="00D170DD">
        <w:t xml:space="preserve"> </w:t>
      </w:r>
      <w:r w:rsidR="00D170DD" w:rsidRPr="00A403D3">
        <w:t xml:space="preserve">Engagement demographics were stable, with strongest participation among men aged 55–64 and women aged 45–54. </w:t>
      </w:r>
      <w:r w:rsidR="00E92A3F" w:rsidRPr="00A403D3">
        <w:t xml:space="preserve">While the Supporters Club’s base remains strongly </w:t>
      </w:r>
      <w:r w:rsidR="009C56C2">
        <w:t>UK-based</w:t>
      </w:r>
      <w:r w:rsidR="00E92A3F" w:rsidRPr="00A403D3">
        <w:t xml:space="preserve">, international engagement continued to </w:t>
      </w:r>
      <w:r w:rsidR="00E92A3F">
        <w:t xml:space="preserve">modestly </w:t>
      </w:r>
      <w:r w:rsidR="00E92A3F" w:rsidRPr="00A403D3">
        <w:t>expand, reinforcing Lewes FC’s identity as a community club with global reach</w:t>
      </w:r>
      <w:r w:rsidR="00E92A3F">
        <w:t xml:space="preserve">; </w:t>
      </w:r>
      <w:r w:rsidR="00D170DD" w:rsidRPr="00A403D3">
        <w:t xml:space="preserve">the United States, Nigeria, and Indonesia </w:t>
      </w:r>
      <w:r w:rsidR="00E92A3F">
        <w:t>were</w:t>
      </w:r>
      <w:r w:rsidR="009C56C2">
        <w:t xml:space="preserve"> </w:t>
      </w:r>
      <w:r w:rsidR="00D170DD" w:rsidRPr="00A403D3">
        <w:t>consistently represented.</w:t>
      </w:r>
      <w:r w:rsidR="00D170DD">
        <w:t xml:space="preserve"> </w:t>
      </w:r>
      <w:r w:rsidRPr="00A403D3">
        <w:t>Bluesky, introduced late in 2024, continued to grow in both membership and posting activity, indicating successful experimentation with alternative platforms.</w:t>
      </w:r>
      <w:r w:rsidR="00415B13">
        <w:t xml:space="preserve"> </w:t>
      </w:r>
      <w:r w:rsidRPr="00A403D3">
        <w:t xml:space="preserve">Twitter/X experienced a </w:t>
      </w:r>
      <w:r w:rsidR="00D170DD">
        <w:t xml:space="preserve">modest </w:t>
      </w:r>
      <w:r w:rsidRPr="00A403D3">
        <w:t>decline in followers</w:t>
      </w:r>
      <w:r w:rsidR="00415B13">
        <w:t xml:space="preserve"> </w:t>
      </w:r>
      <w:r w:rsidRPr="00A403D3">
        <w:t>reflecting broader platform dynamics rather than reduced engagement. Overall, communications reach expanded and diversified across 2025.</w:t>
      </w:r>
      <w:r w:rsidR="00D170DD">
        <w:t xml:space="preserve"> Overall, q</w:t>
      </w:r>
      <w:r w:rsidR="00D170DD" w:rsidRPr="00A403D3">
        <w:t>ualitative narratives emphasi</w:t>
      </w:r>
      <w:r w:rsidR="00D170DD">
        <w:t>z</w:t>
      </w:r>
      <w:r w:rsidR="00D170DD" w:rsidRPr="00A403D3">
        <w:t>e</w:t>
      </w:r>
      <w:r w:rsidR="00D170DD">
        <w:t>d</w:t>
      </w:r>
      <w:r w:rsidR="00D170DD" w:rsidRPr="00A403D3">
        <w:t xml:space="preserve"> humour, storytelling, historical continuity, and recognition of volunteer contributions as central to the Club’s communications strategy.</w:t>
      </w:r>
    </w:p>
    <w:p w14:paraId="1268BFC5" w14:textId="77777777" w:rsidR="00A54FEB" w:rsidRPr="00A403D3" w:rsidRDefault="00A54FEB" w:rsidP="00F95C7F">
      <w:pPr>
        <w:spacing w:after="0" w:line="240" w:lineRule="auto"/>
      </w:pPr>
    </w:p>
    <w:p w14:paraId="16331718" w14:textId="77777777" w:rsidR="00004B33" w:rsidRDefault="00004B33" w:rsidP="00F95C7F">
      <w:pPr>
        <w:spacing w:after="0" w:line="240" w:lineRule="auto"/>
        <w:rPr>
          <w:b/>
          <w:bCs/>
        </w:rPr>
      </w:pPr>
    </w:p>
    <w:p w14:paraId="2C93617D" w14:textId="77777777" w:rsidR="00004B33" w:rsidRDefault="00004B33" w:rsidP="00F95C7F">
      <w:pPr>
        <w:spacing w:after="0" w:line="240" w:lineRule="auto"/>
        <w:rPr>
          <w:b/>
          <w:bCs/>
        </w:rPr>
      </w:pPr>
    </w:p>
    <w:p w14:paraId="529FF751" w14:textId="77777777" w:rsidR="00004B33" w:rsidRDefault="00004B33" w:rsidP="00F95C7F">
      <w:pPr>
        <w:spacing w:after="0" w:line="240" w:lineRule="auto"/>
        <w:rPr>
          <w:b/>
          <w:bCs/>
        </w:rPr>
      </w:pPr>
    </w:p>
    <w:p w14:paraId="6E5BAFF4" w14:textId="77777777" w:rsidR="00004B33" w:rsidRDefault="00004B33" w:rsidP="00F95C7F">
      <w:pPr>
        <w:spacing w:after="0" w:line="240" w:lineRule="auto"/>
        <w:rPr>
          <w:b/>
          <w:bCs/>
        </w:rPr>
      </w:pPr>
    </w:p>
    <w:p w14:paraId="3D53B783" w14:textId="77777777" w:rsidR="00004B33" w:rsidRDefault="00004B33" w:rsidP="00F95C7F">
      <w:pPr>
        <w:spacing w:after="0" w:line="240" w:lineRule="auto"/>
        <w:rPr>
          <w:b/>
          <w:bCs/>
        </w:rPr>
      </w:pPr>
    </w:p>
    <w:p w14:paraId="16C87263" w14:textId="4E7A1A67" w:rsidR="00A54FEB" w:rsidRDefault="00A54FEB" w:rsidP="00F95C7F">
      <w:pPr>
        <w:spacing w:after="0" w:line="240" w:lineRule="auto"/>
        <w:rPr>
          <w:b/>
          <w:bCs/>
        </w:rPr>
      </w:pPr>
      <w:r w:rsidRPr="009C56C2">
        <w:rPr>
          <w:b/>
          <w:bCs/>
        </w:rPr>
        <w:lastRenderedPageBreak/>
        <w:t>Membership</w:t>
      </w:r>
      <w:r w:rsidR="009C56C2">
        <w:rPr>
          <w:b/>
          <w:bCs/>
        </w:rPr>
        <w:t xml:space="preserve"> by Platform</w:t>
      </w:r>
    </w:p>
    <w:p w14:paraId="2A678159" w14:textId="77777777" w:rsidR="009C56C2" w:rsidRPr="009C56C2" w:rsidRDefault="009C56C2" w:rsidP="00F95C7F">
      <w:pPr>
        <w:spacing w:after="0" w:line="240" w:lineRule="auto"/>
        <w:rPr>
          <w:b/>
          <w:bCs/>
        </w:rPr>
      </w:pPr>
    </w:p>
    <w:tbl>
      <w:tblPr>
        <w:tblStyle w:val="GridTable4"/>
        <w:tblW w:w="0" w:type="auto"/>
        <w:tblLook w:val="04A0" w:firstRow="1" w:lastRow="0" w:firstColumn="1" w:lastColumn="0" w:noHBand="0" w:noVBand="1"/>
      </w:tblPr>
      <w:tblGrid>
        <w:gridCol w:w="1236"/>
        <w:gridCol w:w="1234"/>
        <w:gridCol w:w="1234"/>
        <w:gridCol w:w="1234"/>
        <w:gridCol w:w="1234"/>
        <w:gridCol w:w="1234"/>
        <w:gridCol w:w="1234"/>
      </w:tblGrid>
      <w:tr w:rsidR="00A54FEB" w:rsidRPr="00A403D3" w14:paraId="7600488E" w14:textId="77777777" w:rsidTr="00F21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22D8FCE2" w14:textId="77777777" w:rsidR="00A54FEB" w:rsidRPr="00A403D3" w:rsidRDefault="00A54FEB" w:rsidP="00F95C7F">
            <w:r w:rsidRPr="00A403D3">
              <w:t>Platform</w:t>
            </w:r>
          </w:p>
        </w:tc>
        <w:tc>
          <w:tcPr>
            <w:tcW w:w="1234" w:type="dxa"/>
          </w:tcPr>
          <w:p w14:paraId="796A376D"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End Q1</w:t>
            </w:r>
          </w:p>
        </w:tc>
        <w:tc>
          <w:tcPr>
            <w:tcW w:w="1234" w:type="dxa"/>
          </w:tcPr>
          <w:p w14:paraId="7ADD3BD1"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End Q2</w:t>
            </w:r>
          </w:p>
        </w:tc>
        <w:tc>
          <w:tcPr>
            <w:tcW w:w="1234" w:type="dxa"/>
          </w:tcPr>
          <w:p w14:paraId="144CBE6F"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End Q3</w:t>
            </w:r>
          </w:p>
        </w:tc>
        <w:tc>
          <w:tcPr>
            <w:tcW w:w="1234" w:type="dxa"/>
          </w:tcPr>
          <w:p w14:paraId="5F326564"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End Q4</w:t>
            </w:r>
          </w:p>
        </w:tc>
        <w:tc>
          <w:tcPr>
            <w:tcW w:w="1234" w:type="dxa"/>
          </w:tcPr>
          <w:p w14:paraId="2B688898"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Net</w:t>
            </w:r>
          </w:p>
        </w:tc>
        <w:tc>
          <w:tcPr>
            <w:tcW w:w="1234" w:type="dxa"/>
          </w:tcPr>
          <w:p w14:paraId="644CEBD5" w14:textId="77777777" w:rsidR="00A54FEB" w:rsidRPr="00A403D3" w:rsidRDefault="00A54FEB" w:rsidP="00F95C7F">
            <w:pPr>
              <w:cnfStyle w:val="100000000000" w:firstRow="1" w:lastRow="0" w:firstColumn="0" w:lastColumn="0" w:oddVBand="0" w:evenVBand="0" w:oddHBand="0" w:evenHBand="0" w:firstRowFirstColumn="0" w:firstRowLastColumn="0" w:lastRowFirstColumn="0" w:lastRowLastColumn="0"/>
            </w:pPr>
            <w:r w:rsidRPr="00A403D3">
              <w:t>% Change</w:t>
            </w:r>
          </w:p>
        </w:tc>
      </w:tr>
      <w:tr w:rsidR="00A54FEB" w:rsidRPr="00A403D3" w14:paraId="48893806"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03EC6B4C" w14:textId="77777777" w:rsidR="00A54FEB" w:rsidRPr="00A403D3" w:rsidRDefault="00A54FEB" w:rsidP="00F95C7F">
            <w:r w:rsidRPr="00A403D3">
              <w:t>Facebook</w:t>
            </w:r>
          </w:p>
        </w:tc>
        <w:tc>
          <w:tcPr>
            <w:tcW w:w="1234" w:type="dxa"/>
          </w:tcPr>
          <w:p w14:paraId="1FDCF1E4" w14:textId="03ED7883"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1</w:t>
            </w:r>
            <w:r w:rsidR="00622864">
              <w:t>,</w:t>
            </w:r>
            <w:r w:rsidRPr="00A403D3">
              <w:t>998</w:t>
            </w:r>
          </w:p>
        </w:tc>
        <w:tc>
          <w:tcPr>
            <w:tcW w:w="1234" w:type="dxa"/>
          </w:tcPr>
          <w:p w14:paraId="7A3882E7" w14:textId="2F32D0F9"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2</w:t>
            </w:r>
            <w:r w:rsidR="00622864">
              <w:t>,</w:t>
            </w:r>
            <w:r w:rsidRPr="00A403D3">
              <w:t>100</w:t>
            </w:r>
          </w:p>
        </w:tc>
        <w:tc>
          <w:tcPr>
            <w:tcW w:w="1234" w:type="dxa"/>
          </w:tcPr>
          <w:p w14:paraId="6502D845" w14:textId="2F36DBFA"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2</w:t>
            </w:r>
            <w:r w:rsidR="00622864">
              <w:t>,</w:t>
            </w:r>
            <w:r w:rsidRPr="00A403D3">
              <w:t>172</w:t>
            </w:r>
          </w:p>
        </w:tc>
        <w:tc>
          <w:tcPr>
            <w:tcW w:w="1234" w:type="dxa"/>
          </w:tcPr>
          <w:p w14:paraId="392FAEC0" w14:textId="66511EA4"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2</w:t>
            </w:r>
            <w:r w:rsidR="00622864">
              <w:t>,</w:t>
            </w:r>
            <w:r w:rsidRPr="00A403D3">
              <w:t>274</w:t>
            </w:r>
          </w:p>
        </w:tc>
        <w:tc>
          <w:tcPr>
            <w:tcW w:w="1234" w:type="dxa"/>
          </w:tcPr>
          <w:p w14:paraId="754FD3DD"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+276</w:t>
            </w:r>
          </w:p>
        </w:tc>
        <w:tc>
          <w:tcPr>
            <w:tcW w:w="1234" w:type="dxa"/>
          </w:tcPr>
          <w:p w14:paraId="127FB681"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+13.8%</w:t>
            </w:r>
          </w:p>
        </w:tc>
      </w:tr>
      <w:tr w:rsidR="00A54FEB" w:rsidRPr="00A403D3" w14:paraId="1AA7039C" w14:textId="77777777" w:rsidTr="00F215FD">
        <w:tc>
          <w:tcPr>
            <w:cnfStyle w:val="001000000000" w:firstRow="0" w:lastRow="0" w:firstColumn="1" w:lastColumn="0" w:oddVBand="0" w:evenVBand="0" w:oddHBand="0" w:evenHBand="0" w:firstRowFirstColumn="0" w:firstRowLastColumn="0" w:lastRowFirstColumn="0" w:lastRowLastColumn="0"/>
            <w:tcW w:w="1234" w:type="dxa"/>
          </w:tcPr>
          <w:p w14:paraId="53370AC1" w14:textId="77777777" w:rsidR="00A54FEB" w:rsidRPr="00A403D3" w:rsidRDefault="00A54FEB" w:rsidP="00F95C7F">
            <w:r w:rsidRPr="00A403D3">
              <w:t>Twitter/X</w:t>
            </w:r>
          </w:p>
        </w:tc>
        <w:tc>
          <w:tcPr>
            <w:tcW w:w="1234" w:type="dxa"/>
          </w:tcPr>
          <w:p w14:paraId="01A48062" w14:textId="4834DDEE"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w:t>
            </w:r>
            <w:r w:rsidR="00622864">
              <w:t>,</w:t>
            </w:r>
            <w:r w:rsidRPr="00A403D3">
              <w:t>383</w:t>
            </w:r>
          </w:p>
        </w:tc>
        <w:tc>
          <w:tcPr>
            <w:tcW w:w="1234" w:type="dxa"/>
          </w:tcPr>
          <w:p w14:paraId="1EDDE328" w14:textId="4B87AE4F"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w:t>
            </w:r>
            <w:r w:rsidR="00622864">
              <w:t>,</w:t>
            </w:r>
            <w:r w:rsidRPr="00A403D3">
              <w:t>376</w:t>
            </w:r>
          </w:p>
        </w:tc>
        <w:tc>
          <w:tcPr>
            <w:tcW w:w="1234" w:type="dxa"/>
          </w:tcPr>
          <w:p w14:paraId="416027CF" w14:textId="66A1C00A"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w:t>
            </w:r>
            <w:r w:rsidR="00622864">
              <w:t>,</w:t>
            </w:r>
            <w:r w:rsidRPr="00A403D3">
              <w:t>367</w:t>
            </w:r>
          </w:p>
        </w:tc>
        <w:tc>
          <w:tcPr>
            <w:tcW w:w="1234" w:type="dxa"/>
          </w:tcPr>
          <w:p w14:paraId="20E410F9" w14:textId="51115FB4"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w:t>
            </w:r>
            <w:r w:rsidR="00622864">
              <w:t>,</w:t>
            </w:r>
            <w:r w:rsidRPr="00A403D3">
              <w:t>364</w:t>
            </w:r>
          </w:p>
        </w:tc>
        <w:tc>
          <w:tcPr>
            <w:tcW w:w="1234" w:type="dxa"/>
          </w:tcPr>
          <w:p w14:paraId="686BD74D"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-19</w:t>
            </w:r>
          </w:p>
        </w:tc>
        <w:tc>
          <w:tcPr>
            <w:tcW w:w="1234" w:type="dxa"/>
          </w:tcPr>
          <w:p w14:paraId="0C2FA3AE"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-1.4%</w:t>
            </w:r>
          </w:p>
        </w:tc>
      </w:tr>
      <w:tr w:rsidR="00A54FEB" w:rsidRPr="00A403D3" w14:paraId="1DF7BA38"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14423065" w14:textId="77777777" w:rsidR="00A54FEB" w:rsidRPr="00A403D3" w:rsidRDefault="00A54FEB" w:rsidP="00F95C7F">
            <w:r w:rsidRPr="00A403D3">
              <w:t>Bluesky</w:t>
            </w:r>
          </w:p>
        </w:tc>
        <w:tc>
          <w:tcPr>
            <w:tcW w:w="1234" w:type="dxa"/>
          </w:tcPr>
          <w:p w14:paraId="4A47596C"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153</w:t>
            </w:r>
          </w:p>
        </w:tc>
        <w:tc>
          <w:tcPr>
            <w:tcW w:w="1234" w:type="dxa"/>
          </w:tcPr>
          <w:p w14:paraId="2E3E700F"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171</w:t>
            </w:r>
          </w:p>
        </w:tc>
        <w:tc>
          <w:tcPr>
            <w:tcW w:w="1234" w:type="dxa"/>
          </w:tcPr>
          <w:p w14:paraId="2C5DB18A"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189</w:t>
            </w:r>
          </w:p>
        </w:tc>
        <w:tc>
          <w:tcPr>
            <w:tcW w:w="1234" w:type="dxa"/>
          </w:tcPr>
          <w:p w14:paraId="2170B68E"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206</w:t>
            </w:r>
          </w:p>
        </w:tc>
        <w:tc>
          <w:tcPr>
            <w:tcW w:w="1234" w:type="dxa"/>
          </w:tcPr>
          <w:p w14:paraId="7C181AA2"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+53</w:t>
            </w:r>
          </w:p>
        </w:tc>
        <w:tc>
          <w:tcPr>
            <w:tcW w:w="1234" w:type="dxa"/>
          </w:tcPr>
          <w:p w14:paraId="43C2A9C5" w14:textId="77777777" w:rsidR="00A54FEB" w:rsidRPr="00A403D3" w:rsidRDefault="00A54FEB" w:rsidP="00F95C7F">
            <w:pPr>
              <w:cnfStyle w:val="000000100000" w:firstRow="0" w:lastRow="0" w:firstColumn="0" w:lastColumn="0" w:oddVBand="0" w:evenVBand="0" w:oddHBand="1" w:evenHBand="0" w:firstRowFirstColumn="0" w:firstRowLastColumn="0" w:lastRowFirstColumn="0" w:lastRowLastColumn="0"/>
            </w:pPr>
            <w:r w:rsidRPr="00A403D3">
              <w:t>+34.6%</w:t>
            </w:r>
          </w:p>
        </w:tc>
      </w:tr>
      <w:tr w:rsidR="00A54FEB" w:rsidRPr="00A403D3" w14:paraId="46AF53FD" w14:textId="77777777" w:rsidTr="00F215FD">
        <w:tc>
          <w:tcPr>
            <w:cnfStyle w:val="001000000000" w:firstRow="0" w:lastRow="0" w:firstColumn="1" w:lastColumn="0" w:oddVBand="0" w:evenVBand="0" w:oddHBand="0" w:evenHBand="0" w:firstRowFirstColumn="0" w:firstRowLastColumn="0" w:lastRowFirstColumn="0" w:lastRowLastColumn="0"/>
            <w:tcW w:w="1234" w:type="dxa"/>
          </w:tcPr>
          <w:p w14:paraId="43AFAD0B" w14:textId="77777777" w:rsidR="00A54FEB" w:rsidRPr="00A403D3" w:rsidRDefault="00A54FEB" w:rsidP="00F95C7F">
            <w:r w:rsidRPr="00A403D3">
              <w:t>Mailchimp</w:t>
            </w:r>
          </w:p>
        </w:tc>
        <w:tc>
          <w:tcPr>
            <w:tcW w:w="1234" w:type="dxa"/>
          </w:tcPr>
          <w:p w14:paraId="458E4966"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379</w:t>
            </w:r>
          </w:p>
        </w:tc>
        <w:tc>
          <w:tcPr>
            <w:tcW w:w="1234" w:type="dxa"/>
          </w:tcPr>
          <w:p w14:paraId="7EA2B60D"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401</w:t>
            </w:r>
          </w:p>
        </w:tc>
        <w:tc>
          <w:tcPr>
            <w:tcW w:w="1234" w:type="dxa"/>
          </w:tcPr>
          <w:p w14:paraId="432F156C"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390</w:t>
            </w:r>
          </w:p>
        </w:tc>
        <w:tc>
          <w:tcPr>
            <w:tcW w:w="1234" w:type="dxa"/>
          </w:tcPr>
          <w:p w14:paraId="00559E17"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396</w:t>
            </w:r>
          </w:p>
        </w:tc>
        <w:tc>
          <w:tcPr>
            <w:tcW w:w="1234" w:type="dxa"/>
          </w:tcPr>
          <w:p w14:paraId="6F9E8144"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+17</w:t>
            </w:r>
          </w:p>
        </w:tc>
        <w:tc>
          <w:tcPr>
            <w:tcW w:w="1234" w:type="dxa"/>
          </w:tcPr>
          <w:p w14:paraId="2ED1EE4A" w14:textId="77777777" w:rsidR="00A54FEB" w:rsidRPr="00A403D3" w:rsidRDefault="00A54FEB" w:rsidP="00F95C7F">
            <w:pPr>
              <w:cnfStyle w:val="000000000000" w:firstRow="0" w:lastRow="0" w:firstColumn="0" w:lastColumn="0" w:oddVBand="0" w:evenVBand="0" w:oddHBand="0" w:evenHBand="0" w:firstRowFirstColumn="0" w:firstRowLastColumn="0" w:lastRowFirstColumn="0" w:lastRowLastColumn="0"/>
            </w:pPr>
            <w:r w:rsidRPr="00A403D3">
              <w:t>+4.5%</w:t>
            </w:r>
          </w:p>
        </w:tc>
      </w:tr>
    </w:tbl>
    <w:p w14:paraId="47E42767" w14:textId="77777777" w:rsidR="00A54FEB" w:rsidRPr="00A403D3" w:rsidRDefault="00A54FEB" w:rsidP="00F95C7F">
      <w:pPr>
        <w:spacing w:after="0" w:line="240" w:lineRule="auto"/>
      </w:pPr>
    </w:p>
    <w:p w14:paraId="161A3640" w14:textId="069FF697" w:rsidR="00D542AF" w:rsidRPr="00A403D3" w:rsidRDefault="00D542AF" w:rsidP="00612ED5">
      <w:pPr>
        <w:spacing w:after="0" w:line="240" w:lineRule="auto"/>
        <w:jc w:val="center"/>
      </w:pPr>
      <w:r w:rsidRPr="00A403D3">
        <w:rPr>
          <w:noProof/>
        </w:rPr>
        <w:drawing>
          <wp:inline distT="0" distB="0" distL="0" distR="0" wp14:anchorId="41C3C151" wp14:editId="41E5884A">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_platform_growth.png"/>
                    <pic:cNvPicPr/>
                  </pic:nvPicPr>
                  <pic:blipFill>
                    <a:blip r:embed="rId11"/>
                    <a:stretch>
                      <a:fillRect/>
                    </a:stretch>
                  </pic:blipFill>
                  <pic:spPr>
                    <a:xfrm>
                      <a:off x="0" y="0"/>
                      <a:ext cx="5486400" cy="4114800"/>
                    </a:xfrm>
                    <a:prstGeom prst="rect">
                      <a:avLst/>
                    </a:prstGeom>
                  </pic:spPr>
                </pic:pic>
              </a:graphicData>
            </a:graphic>
          </wp:inline>
        </w:drawing>
      </w:r>
    </w:p>
    <w:p w14:paraId="2507205E" w14:textId="0B5F682C" w:rsidR="00D542AF" w:rsidRPr="00A403D3" w:rsidRDefault="00D542AF" w:rsidP="00F95C7F">
      <w:pPr>
        <w:spacing w:after="0" w:line="240" w:lineRule="auto"/>
        <w:jc w:val="center"/>
      </w:pPr>
      <w:r w:rsidRPr="00A403D3">
        <w:rPr>
          <w:i/>
        </w:rPr>
        <w:t>Figure 1. Supporters Club audience growth by platform (end-of-quarter totals across 2025).</w:t>
      </w:r>
    </w:p>
    <w:p w14:paraId="68498B2E" w14:textId="77777777" w:rsidR="005D4ADC" w:rsidRDefault="005D4ADC" w:rsidP="00F95C7F">
      <w:pPr>
        <w:pStyle w:val="Heading2"/>
        <w:spacing w:before="0" w:line="240" w:lineRule="auto"/>
        <w:rPr>
          <w:rFonts w:ascii="Garamond" w:hAnsi="Garamond"/>
          <w:color w:val="auto"/>
        </w:rPr>
      </w:pPr>
    </w:p>
    <w:p w14:paraId="48BC8268" w14:textId="476E29E2"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3. LFC Supporters Club Facebook Engagement</w:t>
      </w:r>
    </w:p>
    <w:p w14:paraId="461DAB02" w14:textId="77777777" w:rsidR="005D4ADC" w:rsidRDefault="005D4ADC" w:rsidP="00F95C7F">
      <w:pPr>
        <w:spacing w:after="0" w:line="240" w:lineRule="auto"/>
      </w:pPr>
    </w:p>
    <w:p w14:paraId="02E39C36" w14:textId="134DBF49" w:rsidR="004F500D" w:rsidRDefault="00BE5718" w:rsidP="00F95C7F">
      <w:pPr>
        <w:spacing w:after="0" w:line="240" w:lineRule="auto"/>
      </w:pPr>
      <w:r>
        <w:t xml:space="preserve">As noted, </w:t>
      </w:r>
      <w:r w:rsidRPr="00A403D3">
        <w:t>Facebook remained the central hub of supporter interaction. Quarterly engagement levels were consistently high, with hundreds of posts and thousands of comments and reactions recorded in each quarter.</w:t>
      </w:r>
      <w:r>
        <w:t xml:space="preserve"> </w:t>
      </w:r>
      <w:r w:rsidRPr="00A403D3">
        <w:t xml:space="preserve">Member-generated content accounted for the majority of activity, while a small number of visitor posts often generated disproportionately high interaction. </w:t>
      </w:r>
      <w:r w:rsidR="00112AEC" w:rsidRPr="00A403D3">
        <w:t>Across quarters, the narrative evidence indicates that member-driven content account</w:t>
      </w:r>
      <w:r>
        <w:t>ed</w:t>
      </w:r>
      <w:r w:rsidR="00112AEC" w:rsidRPr="00A403D3">
        <w:t xml:space="preserve"> for the overwhelming majority of posts, comments, and reactions. Weekend peaks (particularly Sundays and Saturdays) recur, consistent with match schedules and club-event timing.</w:t>
      </w:r>
      <w:r>
        <w:t xml:space="preserve"> </w:t>
      </w:r>
      <w:r w:rsidRPr="00A403D3">
        <w:t>Engagement patterns were stable across the year, with participation skewing male and strongest engagement among men aged 55–64 and women aged 45–54. Geographic data consistently placed Lewes at the centre of activity, with sustained regional and international reach.</w:t>
      </w:r>
    </w:p>
    <w:p w14:paraId="06F494B0" w14:textId="77777777" w:rsidR="00BE5718" w:rsidRDefault="00BE5718" w:rsidP="00F95C7F">
      <w:pPr>
        <w:spacing w:after="0" w:line="240" w:lineRule="auto"/>
      </w:pPr>
    </w:p>
    <w:p w14:paraId="444F9F29" w14:textId="77777777" w:rsidR="00004B33" w:rsidRDefault="00004B33" w:rsidP="00F95C7F">
      <w:pPr>
        <w:spacing w:after="0" w:line="240" w:lineRule="auto"/>
      </w:pPr>
    </w:p>
    <w:p w14:paraId="4FDDAD21" w14:textId="77777777" w:rsidR="00004B33" w:rsidRPr="00A403D3" w:rsidRDefault="00004B33" w:rsidP="00F95C7F">
      <w:pPr>
        <w:spacing w:after="0" w:line="240" w:lineRule="auto"/>
      </w:pPr>
    </w:p>
    <w:p w14:paraId="31E99B1C" w14:textId="0FE6E96E" w:rsidR="005D4DCD" w:rsidRPr="00BE5718" w:rsidRDefault="00BE5718" w:rsidP="00F95C7F">
      <w:pPr>
        <w:spacing w:after="0" w:line="240" w:lineRule="auto"/>
        <w:rPr>
          <w:b/>
          <w:bCs/>
        </w:rPr>
      </w:pPr>
      <w:r w:rsidRPr="00BE5718">
        <w:rPr>
          <w:b/>
          <w:bCs/>
        </w:rPr>
        <w:lastRenderedPageBreak/>
        <w:t>Facebook Engagement</w:t>
      </w:r>
    </w:p>
    <w:p w14:paraId="16430707" w14:textId="77777777" w:rsidR="00BE5718" w:rsidRPr="00A403D3" w:rsidRDefault="00BE5718" w:rsidP="00F95C7F">
      <w:pPr>
        <w:spacing w:after="0" w:line="240" w:lineRule="auto"/>
      </w:pPr>
    </w:p>
    <w:tbl>
      <w:tblPr>
        <w:tblStyle w:val="GridTable4"/>
        <w:tblW w:w="0" w:type="auto"/>
        <w:tblLook w:val="04A0" w:firstRow="1" w:lastRow="0" w:firstColumn="1" w:lastColumn="0" w:noHBand="0" w:noVBand="1"/>
      </w:tblPr>
      <w:tblGrid>
        <w:gridCol w:w="2160"/>
        <w:gridCol w:w="2160"/>
        <w:gridCol w:w="2160"/>
        <w:gridCol w:w="2160"/>
      </w:tblGrid>
      <w:tr w:rsidR="005D4DCD" w:rsidRPr="00A403D3" w14:paraId="5FC64610" w14:textId="77777777" w:rsidTr="00F21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9F04953" w14:textId="77777777" w:rsidR="005D4DCD" w:rsidRPr="00A403D3" w:rsidRDefault="005D4DCD" w:rsidP="00F95C7F">
            <w:r w:rsidRPr="00A403D3">
              <w:t>Quarter</w:t>
            </w:r>
          </w:p>
        </w:tc>
        <w:tc>
          <w:tcPr>
            <w:tcW w:w="2160" w:type="dxa"/>
          </w:tcPr>
          <w:p w14:paraId="4239F248" w14:textId="77777777" w:rsidR="005D4DCD" w:rsidRPr="00A403D3" w:rsidRDefault="005D4DCD" w:rsidP="00F95C7F">
            <w:pPr>
              <w:cnfStyle w:val="100000000000" w:firstRow="1" w:lastRow="0" w:firstColumn="0" w:lastColumn="0" w:oddVBand="0" w:evenVBand="0" w:oddHBand="0" w:evenHBand="0" w:firstRowFirstColumn="0" w:firstRowLastColumn="0" w:lastRowFirstColumn="0" w:lastRowLastColumn="0"/>
            </w:pPr>
            <w:r w:rsidRPr="00A403D3">
              <w:t>Posts</w:t>
            </w:r>
          </w:p>
        </w:tc>
        <w:tc>
          <w:tcPr>
            <w:tcW w:w="2160" w:type="dxa"/>
          </w:tcPr>
          <w:p w14:paraId="44109B08" w14:textId="77777777" w:rsidR="005D4DCD" w:rsidRPr="00A403D3" w:rsidRDefault="005D4DCD" w:rsidP="00F95C7F">
            <w:pPr>
              <w:cnfStyle w:val="100000000000" w:firstRow="1" w:lastRow="0" w:firstColumn="0" w:lastColumn="0" w:oddVBand="0" w:evenVBand="0" w:oddHBand="0" w:evenHBand="0" w:firstRowFirstColumn="0" w:firstRowLastColumn="0" w:lastRowFirstColumn="0" w:lastRowLastColumn="0"/>
            </w:pPr>
            <w:r w:rsidRPr="00A403D3">
              <w:t>Comments</w:t>
            </w:r>
          </w:p>
        </w:tc>
        <w:tc>
          <w:tcPr>
            <w:tcW w:w="2160" w:type="dxa"/>
          </w:tcPr>
          <w:p w14:paraId="4C186ACE" w14:textId="77777777" w:rsidR="005D4DCD" w:rsidRPr="00A403D3" w:rsidRDefault="005D4DCD" w:rsidP="00F95C7F">
            <w:pPr>
              <w:cnfStyle w:val="100000000000" w:firstRow="1" w:lastRow="0" w:firstColumn="0" w:lastColumn="0" w:oddVBand="0" w:evenVBand="0" w:oddHBand="0" w:evenHBand="0" w:firstRowFirstColumn="0" w:firstRowLastColumn="0" w:lastRowFirstColumn="0" w:lastRowLastColumn="0"/>
            </w:pPr>
            <w:r w:rsidRPr="00A403D3">
              <w:t>Reactions</w:t>
            </w:r>
          </w:p>
        </w:tc>
      </w:tr>
      <w:tr w:rsidR="005D4DCD" w:rsidRPr="00A403D3" w14:paraId="66450CF1"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47ABCDC" w14:textId="77777777" w:rsidR="005D4DCD" w:rsidRPr="00A403D3" w:rsidRDefault="005D4DCD" w:rsidP="00F95C7F">
            <w:r w:rsidRPr="00A403D3">
              <w:t>Q1</w:t>
            </w:r>
          </w:p>
        </w:tc>
        <w:tc>
          <w:tcPr>
            <w:tcW w:w="2160" w:type="dxa"/>
          </w:tcPr>
          <w:p w14:paraId="03AC3717" w14:textId="083E9311"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415</w:t>
            </w:r>
            <w:r w:rsidR="00BE5718">
              <w:t>,</w:t>
            </w:r>
          </w:p>
        </w:tc>
        <w:tc>
          <w:tcPr>
            <w:tcW w:w="2160" w:type="dxa"/>
          </w:tcPr>
          <w:p w14:paraId="00CA27CE" w14:textId="569A7536"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1</w:t>
            </w:r>
            <w:r w:rsidR="00BE5718">
              <w:t>,</w:t>
            </w:r>
            <w:r w:rsidRPr="00A403D3">
              <w:t>188</w:t>
            </w:r>
          </w:p>
        </w:tc>
        <w:tc>
          <w:tcPr>
            <w:tcW w:w="2160" w:type="dxa"/>
          </w:tcPr>
          <w:p w14:paraId="6665B105" w14:textId="639C9E7C"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4</w:t>
            </w:r>
            <w:r w:rsidR="00BE5718">
              <w:t>,</w:t>
            </w:r>
            <w:r w:rsidRPr="00A403D3">
              <w:t>702</w:t>
            </w:r>
          </w:p>
        </w:tc>
      </w:tr>
      <w:tr w:rsidR="005D4DCD" w:rsidRPr="00A403D3" w14:paraId="106E7B5B" w14:textId="77777777" w:rsidTr="00F215FD">
        <w:tc>
          <w:tcPr>
            <w:cnfStyle w:val="001000000000" w:firstRow="0" w:lastRow="0" w:firstColumn="1" w:lastColumn="0" w:oddVBand="0" w:evenVBand="0" w:oddHBand="0" w:evenHBand="0" w:firstRowFirstColumn="0" w:firstRowLastColumn="0" w:lastRowFirstColumn="0" w:lastRowLastColumn="0"/>
            <w:tcW w:w="2160" w:type="dxa"/>
          </w:tcPr>
          <w:p w14:paraId="020E7616" w14:textId="77777777" w:rsidR="005D4DCD" w:rsidRPr="00A403D3" w:rsidRDefault="005D4DCD" w:rsidP="00F95C7F">
            <w:r w:rsidRPr="00A403D3">
              <w:t>Q2</w:t>
            </w:r>
          </w:p>
        </w:tc>
        <w:tc>
          <w:tcPr>
            <w:tcW w:w="2160" w:type="dxa"/>
          </w:tcPr>
          <w:p w14:paraId="7FD4D91E" w14:textId="77777777"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339</w:t>
            </w:r>
          </w:p>
        </w:tc>
        <w:tc>
          <w:tcPr>
            <w:tcW w:w="2160" w:type="dxa"/>
          </w:tcPr>
          <w:p w14:paraId="239A5DC5" w14:textId="6E79ED88"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1</w:t>
            </w:r>
            <w:r w:rsidR="00BE5718">
              <w:t>,</w:t>
            </w:r>
            <w:r w:rsidRPr="00A403D3">
              <w:t>315</w:t>
            </w:r>
          </w:p>
        </w:tc>
        <w:tc>
          <w:tcPr>
            <w:tcW w:w="2160" w:type="dxa"/>
          </w:tcPr>
          <w:p w14:paraId="740C2182" w14:textId="0A78D471"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5</w:t>
            </w:r>
            <w:r w:rsidR="00BE5718">
              <w:t>,</w:t>
            </w:r>
            <w:r w:rsidRPr="00A403D3">
              <w:t>193</w:t>
            </w:r>
          </w:p>
        </w:tc>
      </w:tr>
      <w:tr w:rsidR="005D4DCD" w:rsidRPr="00A403D3" w14:paraId="6E38EEB5"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97F00BC" w14:textId="77777777" w:rsidR="005D4DCD" w:rsidRPr="00A403D3" w:rsidRDefault="005D4DCD" w:rsidP="00F95C7F">
            <w:r w:rsidRPr="00A403D3">
              <w:t>Q3</w:t>
            </w:r>
          </w:p>
        </w:tc>
        <w:tc>
          <w:tcPr>
            <w:tcW w:w="2160" w:type="dxa"/>
          </w:tcPr>
          <w:p w14:paraId="184C32B9" w14:textId="77777777"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483</w:t>
            </w:r>
          </w:p>
        </w:tc>
        <w:tc>
          <w:tcPr>
            <w:tcW w:w="2160" w:type="dxa"/>
          </w:tcPr>
          <w:p w14:paraId="3E429197" w14:textId="78BC64F4"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1</w:t>
            </w:r>
            <w:r w:rsidR="00BE5718">
              <w:t>,</w:t>
            </w:r>
            <w:r w:rsidRPr="00A403D3">
              <w:t>620</w:t>
            </w:r>
          </w:p>
        </w:tc>
        <w:tc>
          <w:tcPr>
            <w:tcW w:w="2160" w:type="dxa"/>
          </w:tcPr>
          <w:p w14:paraId="1AD8120B" w14:textId="587A9AE9"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6</w:t>
            </w:r>
            <w:r w:rsidR="00BE5718">
              <w:t>,</w:t>
            </w:r>
            <w:r w:rsidRPr="00A403D3">
              <w:t>483</w:t>
            </w:r>
          </w:p>
        </w:tc>
      </w:tr>
      <w:tr w:rsidR="005D4DCD" w:rsidRPr="00A403D3" w14:paraId="703C9BFD" w14:textId="77777777" w:rsidTr="00F215FD">
        <w:tc>
          <w:tcPr>
            <w:cnfStyle w:val="001000000000" w:firstRow="0" w:lastRow="0" w:firstColumn="1" w:lastColumn="0" w:oddVBand="0" w:evenVBand="0" w:oddHBand="0" w:evenHBand="0" w:firstRowFirstColumn="0" w:firstRowLastColumn="0" w:lastRowFirstColumn="0" w:lastRowLastColumn="0"/>
            <w:tcW w:w="2160" w:type="dxa"/>
          </w:tcPr>
          <w:p w14:paraId="192A973C" w14:textId="77777777" w:rsidR="005D4DCD" w:rsidRPr="00A403D3" w:rsidRDefault="005D4DCD" w:rsidP="00F95C7F">
            <w:r w:rsidRPr="00A403D3">
              <w:t>Q4</w:t>
            </w:r>
          </w:p>
        </w:tc>
        <w:tc>
          <w:tcPr>
            <w:tcW w:w="2160" w:type="dxa"/>
          </w:tcPr>
          <w:p w14:paraId="11F8877B" w14:textId="77777777"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407</w:t>
            </w:r>
          </w:p>
        </w:tc>
        <w:tc>
          <w:tcPr>
            <w:tcW w:w="2160" w:type="dxa"/>
          </w:tcPr>
          <w:p w14:paraId="06723362" w14:textId="7829DAD0"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1</w:t>
            </w:r>
            <w:r w:rsidR="00BE5718">
              <w:t>,</w:t>
            </w:r>
            <w:r w:rsidRPr="00A403D3">
              <w:t>724</w:t>
            </w:r>
          </w:p>
        </w:tc>
        <w:tc>
          <w:tcPr>
            <w:tcW w:w="2160" w:type="dxa"/>
          </w:tcPr>
          <w:p w14:paraId="6629E4D5" w14:textId="7295CEC2" w:rsidR="005D4DCD" w:rsidRPr="00A403D3" w:rsidRDefault="005D4DCD" w:rsidP="00F95C7F">
            <w:pPr>
              <w:cnfStyle w:val="000000000000" w:firstRow="0" w:lastRow="0" w:firstColumn="0" w:lastColumn="0" w:oddVBand="0" w:evenVBand="0" w:oddHBand="0" w:evenHBand="0" w:firstRowFirstColumn="0" w:firstRowLastColumn="0" w:lastRowFirstColumn="0" w:lastRowLastColumn="0"/>
            </w:pPr>
            <w:r w:rsidRPr="00A403D3">
              <w:t>5</w:t>
            </w:r>
            <w:r w:rsidR="00BE5718">
              <w:t>,</w:t>
            </w:r>
            <w:r w:rsidRPr="00A403D3">
              <w:t>145</w:t>
            </w:r>
          </w:p>
        </w:tc>
      </w:tr>
      <w:tr w:rsidR="005D4DCD" w:rsidRPr="00A403D3" w14:paraId="1C1EE998"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039263B" w14:textId="77777777" w:rsidR="005D4DCD" w:rsidRPr="00A403D3" w:rsidRDefault="005D4DCD" w:rsidP="00F95C7F">
            <w:r w:rsidRPr="00A403D3">
              <w:t>2025 Total</w:t>
            </w:r>
          </w:p>
        </w:tc>
        <w:tc>
          <w:tcPr>
            <w:tcW w:w="2160" w:type="dxa"/>
          </w:tcPr>
          <w:p w14:paraId="0B7C7FE0" w14:textId="584B875B"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1</w:t>
            </w:r>
            <w:r w:rsidR="00BE5718">
              <w:t>,</w:t>
            </w:r>
            <w:r w:rsidRPr="00A403D3">
              <w:t>644</w:t>
            </w:r>
          </w:p>
        </w:tc>
        <w:tc>
          <w:tcPr>
            <w:tcW w:w="2160" w:type="dxa"/>
          </w:tcPr>
          <w:p w14:paraId="42427111" w14:textId="649497EE"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5</w:t>
            </w:r>
            <w:r w:rsidR="00BE5718">
              <w:t>,</w:t>
            </w:r>
            <w:r w:rsidRPr="00A403D3">
              <w:t>847</w:t>
            </w:r>
          </w:p>
        </w:tc>
        <w:tc>
          <w:tcPr>
            <w:tcW w:w="2160" w:type="dxa"/>
          </w:tcPr>
          <w:p w14:paraId="09F877F7" w14:textId="3395788D" w:rsidR="005D4DCD" w:rsidRPr="00A403D3" w:rsidRDefault="005D4DCD" w:rsidP="00F95C7F">
            <w:pPr>
              <w:cnfStyle w:val="000000100000" w:firstRow="0" w:lastRow="0" w:firstColumn="0" w:lastColumn="0" w:oddVBand="0" w:evenVBand="0" w:oddHBand="1" w:evenHBand="0" w:firstRowFirstColumn="0" w:firstRowLastColumn="0" w:lastRowFirstColumn="0" w:lastRowLastColumn="0"/>
            </w:pPr>
            <w:r w:rsidRPr="00A403D3">
              <w:t>21</w:t>
            </w:r>
            <w:r w:rsidR="00BE5718">
              <w:t>,</w:t>
            </w:r>
            <w:r w:rsidRPr="00A403D3">
              <w:t>523</w:t>
            </w:r>
          </w:p>
        </w:tc>
      </w:tr>
    </w:tbl>
    <w:p w14:paraId="6BF3A2B1" w14:textId="77777777" w:rsidR="005D5DDB" w:rsidRPr="00A403D3" w:rsidRDefault="005D5DDB" w:rsidP="00F95C7F">
      <w:pPr>
        <w:spacing w:after="0" w:line="240" w:lineRule="auto"/>
      </w:pPr>
    </w:p>
    <w:p w14:paraId="36CE7887" w14:textId="29F2A025" w:rsidR="00C65F87" w:rsidRPr="00A403D3" w:rsidRDefault="00C65F87" w:rsidP="00463F76">
      <w:pPr>
        <w:spacing w:after="0" w:line="240" w:lineRule="auto"/>
        <w:jc w:val="center"/>
      </w:pPr>
      <w:r w:rsidRPr="00A403D3">
        <w:rPr>
          <w:noProof/>
        </w:rPr>
        <w:drawing>
          <wp:inline distT="0" distB="0" distL="0" distR="0" wp14:anchorId="5BF681C2" wp14:editId="5A3FE9BE">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_fb_engagement.png"/>
                    <pic:cNvPicPr/>
                  </pic:nvPicPr>
                  <pic:blipFill>
                    <a:blip r:embed="rId12"/>
                    <a:stretch>
                      <a:fillRect/>
                    </a:stretch>
                  </pic:blipFill>
                  <pic:spPr>
                    <a:xfrm>
                      <a:off x="0" y="0"/>
                      <a:ext cx="5486400" cy="4114800"/>
                    </a:xfrm>
                    <a:prstGeom prst="rect">
                      <a:avLst/>
                    </a:prstGeom>
                  </pic:spPr>
                </pic:pic>
              </a:graphicData>
            </a:graphic>
          </wp:inline>
        </w:drawing>
      </w:r>
    </w:p>
    <w:p w14:paraId="45045B65" w14:textId="77777777" w:rsidR="00C65F87" w:rsidRPr="00A403D3" w:rsidRDefault="00C65F87" w:rsidP="00F95C7F">
      <w:pPr>
        <w:spacing w:after="0" w:line="240" w:lineRule="auto"/>
        <w:jc w:val="center"/>
      </w:pPr>
      <w:r w:rsidRPr="00A403D3">
        <w:rPr>
          <w:i/>
        </w:rPr>
        <w:t>Figure 2. Facebook engagement totals by quarter (posts, comments, reactions; everyone—members + visitors).</w:t>
      </w:r>
    </w:p>
    <w:p w14:paraId="6A06587A" w14:textId="77777777" w:rsidR="00A63194" w:rsidRDefault="00A63194" w:rsidP="00F95C7F">
      <w:pPr>
        <w:pStyle w:val="Heading2"/>
        <w:spacing w:before="0" w:line="240" w:lineRule="auto"/>
        <w:rPr>
          <w:rFonts w:ascii="Garamond" w:hAnsi="Garamond"/>
          <w:color w:val="auto"/>
        </w:rPr>
      </w:pPr>
    </w:p>
    <w:p w14:paraId="70EC8195" w14:textId="2AE9E516"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4. Dripping Pan Maintenance and Equipment Expenditure</w:t>
      </w:r>
    </w:p>
    <w:p w14:paraId="2EE214B5" w14:textId="77777777" w:rsidR="00A63194" w:rsidRDefault="00A63194" w:rsidP="00F95C7F">
      <w:pPr>
        <w:spacing w:after="0" w:line="240" w:lineRule="auto"/>
      </w:pPr>
    </w:p>
    <w:p w14:paraId="3C34134A" w14:textId="551BBA8A" w:rsidR="004F500D" w:rsidRPr="00A403D3" w:rsidRDefault="00000000" w:rsidP="00F95C7F">
      <w:pPr>
        <w:spacing w:after="0" w:line="240" w:lineRule="auto"/>
      </w:pPr>
      <w:r w:rsidRPr="00A403D3">
        <w:t>Expenditure on Dripping Pan maintenance varied by quarter, reflecting the episodic nature of capital works. Q1 included substantial infrastructure spending, while Q2 and Q3 focused on incremental improvements. No cash expenditure was recorded in Q4.</w:t>
      </w:r>
      <w:r w:rsidR="00701BB3">
        <w:t xml:space="preserve"> </w:t>
      </w:r>
      <w:r w:rsidRPr="00A403D3">
        <w:t>Despite this variation in spending, qualitative evidence shows uninterrupted maintenance activity, demonstrating the importance of volunteer labour in sustaining the ground.</w:t>
      </w:r>
    </w:p>
    <w:p w14:paraId="248D54B3" w14:textId="77777777" w:rsidR="00701BB3" w:rsidRDefault="00701BB3" w:rsidP="00F95C7F">
      <w:pPr>
        <w:spacing w:after="0" w:line="240" w:lineRule="auto"/>
      </w:pPr>
    </w:p>
    <w:p w14:paraId="086269F9" w14:textId="77777777" w:rsidR="00004B33" w:rsidRDefault="00004B33" w:rsidP="00F95C7F">
      <w:pPr>
        <w:spacing w:after="0" w:line="240" w:lineRule="auto"/>
        <w:rPr>
          <w:b/>
          <w:bCs/>
        </w:rPr>
      </w:pPr>
    </w:p>
    <w:p w14:paraId="7B80570A" w14:textId="77777777" w:rsidR="00004B33" w:rsidRDefault="00004B33" w:rsidP="00F95C7F">
      <w:pPr>
        <w:spacing w:after="0" w:line="240" w:lineRule="auto"/>
        <w:rPr>
          <w:b/>
          <w:bCs/>
        </w:rPr>
      </w:pPr>
    </w:p>
    <w:p w14:paraId="33E35C9A" w14:textId="77777777" w:rsidR="00004B33" w:rsidRDefault="00004B33" w:rsidP="00F95C7F">
      <w:pPr>
        <w:spacing w:after="0" w:line="240" w:lineRule="auto"/>
        <w:rPr>
          <w:b/>
          <w:bCs/>
        </w:rPr>
      </w:pPr>
    </w:p>
    <w:p w14:paraId="062C0458" w14:textId="77777777" w:rsidR="00004B33" w:rsidRDefault="00004B33" w:rsidP="00F95C7F">
      <w:pPr>
        <w:spacing w:after="0" w:line="240" w:lineRule="auto"/>
        <w:rPr>
          <w:b/>
          <w:bCs/>
        </w:rPr>
      </w:pPr>
    </w:p>
    <w:p w14:paraId="214CC479" w14:textId="77777777" w:rsidR="00004B33" w:rsidRDefault="00004B33" w:rsidP="00F95C7F">
      <w:pPr>
        <w:spacing w:after="0" w:line="240" w:lineRule="auto"/>
        <w:rPr>
          <w:b/>
          <w:bCs/>
        </w:rPr>
      </w:pPr>
    </w:p>
    <w:p w14:paraId="1924BF43" w14:textId="77777777" w:rsidR="00004B33" w:rsidRDefault="00004B33" w:rsidP="00F95C7F">
      <w:pPr>
        <w:spacing w:after="0" w:line="240" w:lineRule="auto"/>
        <w:rPr>
          <w:b/>
          <w:bCs/>
        </w:rPr>
      </w:pPr>
    </w:p>
    <w:p w14:paraId="61F868EC" w14:textId="191A1859" w:rsidR="00975D30" w:rsidRPr="00701BB3" w:rsidRDefault="00714DC6" w:rsidP="00F95C7F">
      <w:pPr>
        <w:spacing w:after="0" w:line="240" w:lineRule="auto"/>
        <w:rPr>
          <w:b/>
          <w:bCs/>
        </w:rPr>
      </w:pPr>
      <w:r>
        <w:rPr>
          <w:b/>
          <w:bCs/>
        </w:rPr>
        <w:lastRenderedPageBreak/>
        <w:t xml:space="preserve">Dripping Pan Maintenance </w:t>
      </w:r>
      <w:r w:rsidR="00701BB3" w:rsidRPr="00701BB3">
        <w:rPr>
          <w:b/>
          <w:bCs/>
        </w:rPr>
        <w:t>Expenditures</w:t>
      </w:r>
    </w:p>
    <w:p w14:paraId="1173CDD3" w14:textId="77777777" w:rsidR="00701BB3" w:rsidRPr="00A403D3" w:rsidRDefault="00701BB3" w:rsidP="00F95C7F">
      <w:pPr>
        <w:spacing w:after="0" w:line="240" w:lineRule="auto"/>
      </w:pPr>
    </w:p>
    <w:tbl>
      <w:tblPr>
        <w:tblStyle w:val="GridTable4"/>
        <w:tblW w:w="0" w:type="auto"/>
        <w:tblLook w:val="04A0" w:firstRow="1" w:lastRow="0" w:firstColumn="1" w:lastColumn="0" w:noHBand="0" w:noVBand="1"/>
      </w:tblPr>
      <w:tblGrid>
        <w:gridCol w:w="2746"/>
        <w:gridCol w:w="2783"/>
        <w:gridCol w:w="3327"/>
      </w:tblGrid>
      <w:tr w:rsidR="00975D30" w:rsidRPr="00A403D3" w14:paraId="65C9EC46" w14:textId="77777777" w:rsidTr="00F21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1DE154E" w14:textId="77777777" w:rsidR="00975D30" w:rsidRPr="00A403D3" w:rsidRDefault="00975D30" w:rsidP="00F95C7F">
            <w:r w:rsidRPr="00A403D3">
              <w:t>Quarter</w:t>
            </w:r>
          </w:p>
        </w:tc>
        <w:tc>
          <w:tcPr>
            <w:tcW w:w="2880" w:type="dxa"/>
          </w:tcPr>
          <w:p w14:paraId="0FE41693" w14:textId="288C82C7" w:rsidR="00975D30" w:rsidRPr="00A403D3" w:rsidRDefault="00975D30" w:rsidP="00F95C7F">
            <w:pPr>
              <w:cnfStyle w:val="100000000000" w:firstRow="1" w:lastRow="0" w:firstColumn="0" w:lastColumn="0" w:oddVBand="0" w:evenVBand="0" w:oddHBand="0" w:evenHBand="0" w:firstRowFirstColumn="0" w:firstRowLastColumn="0" w:lastRowFirstColumn="0" w:lastRowLastColumn="0"/>
            </w:pPr>
            <w:r w:rsidRPr="00A403D3">
              <w:t>Expenditure</w:t>
            </w:r>
            <w:r w:rsidR="00714DC6">
              <w:t>s by Quarter</w:t>
            </w:r>
          </w:p>
        </w:tc>
        <w:tc>
          <w:tcPr>
            <w:tcW w:w="2880" w:type="dxa"/>
          </w:tcPr>
          <w:p w14:paraId="3C42B296" w14:textId="6B6626EE" w:rsidR="00975D30" w:rsidRPr="00A403D3" w:rsidRDefault="00714DC6" w:rsidP="00F95C7F">
            <w:pPr>
              <w:cnfStyle w:val="100000000000" w:firstRow="1" w:lastRow="0" w:firstColumn="0" w:lastColumn="0" w:oddVBand="0" w:evenVBand="0" w:oddHBand="0" w:evenHBand="0" w:firstRowFirstColumn="0" w:firstRowLastColumn="0" w:lastRowFirstColumn="0" w:lastRowLastColumn="0"/>
            </w:pPr>
            <w:r>
              <w:t>Projects Across Quarters</w:t>
            </w:r>
          </w:p>
        </w:tc>
      </w:tr>
      <w:tr w:rsidR="00714DC6" w:rsidRPr="00A403D3" w14:paraId="2F46653E"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E7A13B9" w14:textId="77777777" w:rsidR="00714DC6" w:rsidRPr="00A403D3" w:rsidRDefault="00714DC6" w:rsidP="00F95C7F">
            <w:r w:rsidRPr="00A403D3">
              <w:t>Q1</w:t>
            </w:r>
          </w:p>
        </w:tc>
        <w:tc>
          <w:tcPr>
            <w:tcW w:w="2880" w:type="dxa"/>
          </w:tcPr>
          <w:p w14:paraId="7C534EF5" w14:textId="7F4D62B2" w:rsidR="00714DC6" w:rsidRPr="00D920E7" w:rsidRDefault="00714DC6" w:rsidP="00F95C7F">
            <w:pPr>
              <w:cnfStyle w:val="000000100000" w:firstRow="0" w:lastRow="0" w:firstColumn="0" w:lastColumn="0" w:oddVBand="0" w:evenVBand="0" w:oddHBand="1" w:evenHBand="0" w:firstRowFirstColumn="0" w:firstRowLastColumn="0" w:lastRowFirstColumn="0" w:lastRowLastColumn="0"/>
              <w:rPr>
                <w:bCs/>
              </w:rPr>
            </w:pPr>
            <w:r w:rsidRPr="00D920E7">
              <w:rPr>
                <w:bCs/>
              </w:rPr>
              <w:t>£6,581.13</w:t>
            </w:r>
          </w:p>
        </w:tc>
        <w:tc>
          <w:tcPr>
            <w:tcW w:w="2880" w:type="dxa"/>
            <w:vMerge w:val="restart"/>
          </w:tcPr>
          <w:p w14:paraId="659B64C0"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 xml:space="preserve">Improved access past the new unisex toilet block deposit </w:t>
            </w:r>
          </w:p>
          <w:p w14:paraId="157510E4"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Water supply installed at the 3G</w:t>
            </w:r>
          </w:p>
          <w:p w14:paraId="4715A6F6"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New door and window for the tea/coffee hut</w:t>
            </w:r>
          </w:p>
          <w:p w14:paraId="24B304AF"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Drainage materials to install new drains for changing rooms and kitchen</w:t>
            </w:r>
          </w:p>
          <w:p w14:paraId="02C774D6"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Water heater and air fryer</w:t>
            </w:r>
          </w:p>
          <w:p w14:paraId="38D9DF41"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Door closure</w:t>
            </w:r>
            <w:r w:rsidRPr="00714DC6">
              <w:rPr>
                <w:rFonts w:ascii="Garamond" w:hAnsi="Garamond"/>
                <w:b/>
                <w:sz w:val="16"/>
                <w:szCs w:val="16"/>
              </w:rPr>
              <w:t>s</w:t>
            </w:r>
          </w:p>
          <w:p w14:paraId="19568C39"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Splash backs for hand driers and basins in the unisex toilets</w:t>
            </w:r>
          </w:p>
          <w:p w14:paraId="284E1564" w14:textId="77777777" w:rsidR="00714DC6" w:rsidRPr="00714DC6" w:rsidRDefault="00714DC6" w:rsidP="00714DC6">
            <w:pPr>
              <w:pStyle w:val="ListParagraph"/>
              <w:numPr>
                <w:ilvl w:val="0"/>
                <w:numId w:val="11"/>
              </w:numPr>
              <w:ind w:left="360"/>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714DC6">
              <w:rPr>
                <w:color w:val="000000"/>
                <w:sz w:val="16"/>
                <w:szCs w:val="16"/>
              </w:rPr>
              <w:t>Donation to Louise for costs of plants for garden adjacent to players steps</w:t>
            </w:r>
          </w:p>
          <w:p w14:paraId="56975706" w14:textId="77777777" w:rsidR="00714DC6" w:rsidRPr="00714DC6" w:rsidRDefault="00714DC6" w:rsidP="00714DC6">
            <w:pPr>
              <w:pStyle w:val="NormalWeb"/>
              <w:numPr>
                <w:ilvl w:val="0"/>
                <w:numId w:val="11"/>
              </w:numPr>
              <w:tabs>
                <w:tab w:val="left" w:pos="870"/>
                <w:tab w:val="left" w:pos="6393"/>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Paint and brushes for painting wheelchair areas</w:t>
            </w:r>
            <w:r w:rsidRPr="00714DC6">
              <w:rPr>
                <w:rFonts w:ascii="Garamond" w:hAnsi="Garamond"/>
                <w:sz w:val="16"/>
                <w:szCs w:val="16"/>
              </w:rPr>
              <w:tab/>
            </w:r>
          </w:p>
          <w:p w14:paraId="06F255C7" w14:textId="77777777" w:rsidR="00714DC6" w:rsidRPr="00714DC6" w:rsidRDefault="00714DC6" w:rsidP="00714DC6">
            <w:pPr>
              <w:pStyle w:val="NormalWeb"/>
              <w:numPr>
                <w:ilvl w:val="0"/>
                <w:numId w:val="11"/>
              </w:numPr>
              <w:tabs>
                <w:tab w:val="left" w:pos="870"/>
                <w:tab w:val="left" w:pos="6393"/>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Bird spikes to keep birds from perching on roofs, etc.</w:t>
            </w:r>
          </w:p>
          <w:p w14:paraId="19D1698B"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Paint for access doors</w:t>
            </w:r>
          </w:p>
          <w:p w14:paraId="11CAC075"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Paint for main entrance/exit doors</w:t>
            </w:r>
          </w:p>
          <w:p w14:paraId="2A45FC81" w14:textId="77777777" w:rsidR="00714DC6" w:rsidRPr="00714DC6" w:rsidRDefault="00714DC6" w:rsidP="00714DC6">
            <w:pPr>
              <w:pStyle w:val="NormalWeb"/>
              <w:numPr>
                <w:ilvl w:val="0"/>
                <w:numId w:val="11"/>
              </w:numPr>
              <w:tabs>
                <w:tab w:val="left" w:pos="870"/>
                <w:tab w:val="left" w:pos="6070"/>
              </w:tabs>
              <w:spacing w:before="0" w:beforeAutospacing="0" w:after="0" w:afterAutospacing="0"/>
              <w:ind w:left="360"/>
              <w:contextualSpacing/>
              <w:cnfStyle w:val="000000100000" w:firstRow="0" w:lastRow="0" w:firstColumn="0" w:lastColumn="0" w:oddVBand="0" w:evenVBand="0" w:oddHBand="1" w:evenHBand="0" w:firstRowFirstColumn="0" w:firstRowLastColumn="0" w:lastRowFirstColumn="0" w:lastRowLastColumn="0"/>
              <w:rPr>
                <w:rFonts w:ascii="Garamond" w:hAnsi="Garamond"/>
                <w:bCs/>
                <w:sz w:val="16"/>
                <w:szCs w:val="16"/>
              </w:rPr>
            </w:pPr>
            <w:r w:rsidRPr="00714DC6">
              <w:rPr>
                <w:rFonts w:ascii="Garamond" w:hAnsi="Garamond"/>
                <w:sz w:val="16"/>
                <w:szCs w:val="16"/>
              </w:rPr>
              <w:t>Product dispensers/products for Ladies toilets</w:t>
            </w:r>
          </w:p>
          <w:p w14:paraId="23091A65" w14:textId="17703A4E" w:rsidR="00714DC6" w:rsidRPr="00A403D3" w:rsidRDefault="00714DC6" w:rsidP="00F95C7F">
            <w:pPr>
              <w:cnfStyle w:val="000000100000" w:firstRow="0" w:lastRow="0" w:firstColumn="0" w:lastColumn="0" w:oddVBand="0" w:evenVBand="0" w:oddHBand="1" w:evenHBand="0" w:firstRowFirstColumn="0" w:firstRowLastColumn="0" w:lastRowFirstColumn="0" w:lastRowLastColumn="0"/>
            </w:pPr>
          </w:p>
        </w:tc>
      </w:tr>
      <w:tr w:rsidR="00714DC6" w:rsidRPr="00A403D3" w14:paraId="2E64F1FA" w14:textId="77777777" w:rsidTr="00F215FD">
        <w:tc>
          <w:tcPr>
            <w:cnfStyle w:val="001000000000" w:firstRow="0" w:lastRow="0" w:firstColumn="1" w:lastColumn="0" w:oddVBand="0" w:evenVBand="0" w:oddHBand="0" w:evenHBand="0" w:firstRowFirstColumn="0" w:firstRowLastColumn="0" w:lastRowFirstColumn="0" w:lastRowLastColumn="0"/>
            <w:tcW w:w="2880" w:type="dxa"/>
          </w:tcPr>
          <w:p w14:paraId="3AA6B91D" w14:textId="77777777" w:rsidR="00714DC6" w:rsidRPr="00A403D3" w:rsidRDefault="00714DC6" w:rsidP="00F95C7F">
            <w:r w:rsidRPr="00A403D3">
              <w:t>Q2</w:t>
            </w:r>
          </w:p>
        </w:tc>
        <w:tc>
          <w:tcPr>
            <w:tcW w:w="2880" w:type="dxa"/>
          </w:tcPr>
          <w:p w14:paraId="29187337" w14:textId="75852EEB" w:rsidR="00714DC6" w:rsidRPr="00D920E7" w:rsidRDefault="00714DC6" w:rsidP="00F95C7F">
            <w:pPr>
              <w:cnfStyle w:val="000000000000" w:firstRow="0" w:lastRow="0" w:firstColumn="0" w:lastColumn="0" w:oddVBand="0" w:evenVBand="0" w:oddHBand="0" w:evenHBand="0" w:firstRowFirstColumn="0" w:firstRowLastColumn="0" w:lastRowFirstColumn="0" w:lastRowLastColumn="0"/>
              <w:rPr>
                <w:bCs/>
              </w:rPr>
            </w:pPr>
            <w:r w:rsidRPr="00D920E7">
              <w:rPr>
                <w:bCs/>
              </w:rPr>
              <w:t>£1,038.17</w:t>
            </w:r>
          </w:p>
        </w:tc>
        <w:tc>
          <w:tcPr>
            <w:tcW w:w="2880" w:type="dxa"/>
            <w:vMerge/>
          </w:tcPr>
          <w:p w14:paraId="2A08CB1D" w14:textId="477990F0" w:rsidR="00714DC6" w:rsidRPr="00A403D3" w:rsidRDefault="00714DC6" w:rsidP="00F95C7F">
            <w:pPr>
              <w:cnfStyle w:val="000000000000" w:firstRow="0" w:lastRow="0" w:firstColumn="0" w:lastColumn="0" w:oddVBand="0" w:evenVBand="0" w:oddHBand="0" w:evenHBand="0" w:firstRowFirstColumn="0" w:firstRowLastColumn="0" w:lastRowFirstColumn="0" w:lastRowLastColumn="0"/>
            </w:pPr>
          </w:p>
        </w:tc>
      </w:tr>
      <w:tr w:rsidR="00714DC6" w:rsidRPr="00A403D3" w14:paraId="2EE498E6"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A3C082" w14:textId="77777777" w:rsidR="00714DC6" w:rsidRPr="00A403D3" w:rsidRDefault="00714DC6" w:rsidP="00D920E7">
            <w:r w:rsidRPr="00A403D3">
              <w:t>Q3</w:t>
            </w:r>
          </w:p>
        </w:tc>
        <w:tc>
          <w:tcPr>
            <w:tcW w:w="2880" w:type="dxa"/>
          </w:tcPr>
          <w:p w14:paraId="321D4060" w14:textId="2F7E9BE1" w:rsidR="00714DC6" w:rsidRPr="00D920E7" w:rsidRDefault="00714DC6" w:rsidP="00D920E7">
            <w:pPr>
              <w:cnfStyle w:val="000000100000" w:firstRow="0" w:lastRow="0" w:firstColumn="0" w:lastColumn="0" w:oddVBand="0" w:evenVBand="0" w:oddHBand="1" w:evenHBand="0" w:firstRowFirstColumn="0" w:firstRowLastColumn="0" w:lastRowFirstColumn="0" w:lastRowLastColumn="0"/>
              <w:rPr>
                <w:bCs/>
              </w:rPr>
            </w:pPr>
            <w:r w:rsidRPr="00D920E7">
              <w:rPr>
                <w:bCs/>
              </w:rPr>
              <w:t>£323.01</w:t>
            </w:r>
          </w:p>
        </w:tc>
        <w:tc>
          <w:tcPr>
            <w:tcW w:w="2880" w:type="dxa"/>
            <w:vMerge/>
          </w:tcPr>
          <w:p w14:paraId="273B742D" w14:textId="1DBA0F6C" w:rsidR="00714DC6" w:rsidRPr="00A403D3" w:rsidRDefault="00714DC6" w:rsidP="00D920E7">
            <w:pPr>
              <w:cnfStyle w:val="000000100000" w:firstRow="0" w:lastRow="0" w:firstColumn="0" w:lastColumn="0" w:oddVBand="0" w:evenVBand="0" w:oddHBand="1" w:evenHBand="0" w:firstRowFirstColumn="0" w:firstRowLastColumn="0" w:lastRowFirstColumn="0" w:lastRowLastColumn="0"/>
            </w:pPr>
          </w:p>
        </w:tc>
      </w:tr>
      <w:tr w:rsidR="00714DC6" w:rsidRPr="00A403D3" w14:paraId="5CDD0329" w14:textId="77777777" w:rsidTr="00F215FD">
        <w:tc>
          <w:tcPr>
            <w:cnfStyle w:val="001000000000" w:firstRow="0" w:lastRow="0" w:firstColumn="1" w:lastColumn="0" w:oddVBand="0" w:evenVBand="0" w:oddHBand="0" w:evenHBand="0" w:firstRowFirstColumn="0" w:firstRowLastColumn="0" w:lastRowFirstColumn="0" w:lastRowLastColumn="0"/>
            <w:tcW w:w="2880" w:type="dxa"/>
          </w:tcPr>
          <w:p w14:paraId="12CA6C06" w14:textId="77777777" w:rsidR="00714DC6" w:rsidRPr="00A403D3" w:rsidRDefault="00714DC6" w:rsidP="00D920E7">
            <w:r w:rsidRPr="00A403D3">
              <w:t>Q4</w:t>
            </w:r>
          </w:p>
        </w:tc>
        <w:tc>
          <w:tcPr>
            <w:tcW w:w="2880" w:type="dxa"/>
          </w:tcPr>
          <w:p w14:paraId="7A9EEC0E" w14:textId="17F5E3AC" w:rsidR="00714DC6" w:rsidRPr="00D920E7" w:rsidRDefault="00714DC6" w:rsidP="00D920E7">
            <w:pPr>
              <w:cnfStyle w:val="000000000000" w:firstRow="0" w:lastRow="0" w:firstColumn="0" w:lastColumn="0" w:oddVBand="0" w:evenVBand="0" w:oddHBand="0" w:evenHBand="0" w:firstRowFirstColumn="0" w:firstRowLastColumn="0" w:lastRowFirstColumn="0" w:lastRowLastColumn="0"/>
              <w:rPr>
                <w:bCs/>
              </w:rPr>
            </w:pPr>
            <w:r w:rsidRPr="00D920E7">
              <w:rPr>
                <w:bCs/>
              </w:rPr>
              <w:t>£0</w:t>
            </w:r>
          </w:p>
        </w:tc>
        <w:tc>
          <w:tcPr>
            <w:tcW w:w="2880" w:type="dxa"/>
            <w:vMerge/>
          </w:tcPr>
          <w:p w14:paraId="3DD2D909" w14:textId="05EE599C" w:rsidR="00714DC6" w:rsidRPr="00A403D3" w:rsidRDefault="00714DC6" w:rsidP="00D920E7">
            <w:pPr>
              <w:cnfStyle w:val="000000000000" w:firstRow="0" w:lastRow="0" w:firstColumn="0" w:lastColumn="0" w:oddVBand="0" w:evenVBand="0" w:oddHBand="0" w:evenHBand="0" w:firstRowFirstColumn="0" w:firstRowLastColumn="0" w:lastRowFirstColumn="0" w:lastRowLastColumn="0"/>
            </w:pPr>
          </w:p>
        </w:tc>
      </w:tr>
      <w:tr w:rsidR="00714DC6" w:rsidRPr="00A403D3" w14:paraId="5B13AB34" w14:textId="77777777" w:rsidTr="00F21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5CF3462" w14:textId="77777777" w:rsidR="00714DC6" w:rsidRPr="00A403D3" w:rsidRDefault="00714DC6" w:rsidP="00F95C7F">
            <w:r w:rsidRPr="00A403D3">
              <w:t>2025 Total</w:t>
            </w:r>
          </w:p>
        </w:tc>
        <w:tc>
          <w:tcPr>
            <w:tcW w:w="2880" w:type="dxa"/>
          </w:tcPr>
          <w:p w14:paraId="19194A14" w14:textId="6DB7B9D8" w:rsidR="00714DC6" w:rsidRPr="00714DC6" w:rsidRDefault="00714DC6" w:rsidP="00F95C7F">
            <w:pPr>
              <w:cnfStyle w:val="000000100000" w:firstRow="0" w:lastRow="0" w:firstColumn="0" w:lastColumn="0" w:oddVBand="0" w:evenVBand="0" w:oddHBand="1" w:evenHBand="0" w:firstRowFirstColumn="0" w:firstRowLastColumn="0" w:lastRowFirstColumn="0" w:lastRowLastColumn="0"/>
              <w:rPr>
                <w:b/>
              </w:rPr>
            </w:pPr>
            <w:r w:rsidRPr="00714DC6">
              <w:rPr>
                <w:b/>
              </w:rPr>
              <w:t>£7,942.31</w:t>
            </w:r>
          </w:p>
        </w:tc>
        <w:tc>
          <w:tcPr>
            <w:tcW w:w="2880" w:type="dxa"/>
            <w:vMerge/>
          </w:tcPr>
          <w:p w14:paraId="7A3B96C3" w14:textId="23F07211" w:rsidR="00714DC6" w:rsidRPr="00A403D3" w:rsidRDefault="00714DC6" w:rsidP="00F95C7F">
            <w:pPr>
              <w:cnfStyle w:val="000000100000" w:firstRow="0" w:lastRow="0" w:firstColumn="0" w:lastColumn="0" w:oddVBand="0" w:evenVBand="0" w:oddHBand="1" w:evenHBand="0" w:firstRowFirstColumn="0" w:firstRowLastColumn="0" w:lastRowFirstColumn="0" w:lastRowLastColumn="0"/>
            </w:pPr>
          </w:p>
        </w:tc>
      </w:tr>
    </w:tbl>
    <w:p w14:paraId="3872535E" w14:textId="77777777" w:rsidR="00E37018" w:rsidRPr="00A403D3" w:rsidRDefault="00E37018" w:rsidP="00F95C7F">
      <w:pPr>
        <w:spacing w:after="0" w:line="240" w:lineRule="auto"/>
      </w:pPr>
    </w:p>
    <w:p w14:paraId="34D4C67D" w14:textId="77777777"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5. Other Supporters Club Volunteer Lewes Community Activities</w:t>
      </w:r>
    </w:p>
    <w:p w14:paraId="7C4EE1D6" w14:textId="77777777" w:rsidR="006A6948" w:rsidRDefault="006A6948" w:rsidP="00F95C7F">
      <w:pPr>
        <w:spacing w:after="0" w:line="240" w:lineRule="auto"/>
      </w:pPr>
    </w:p>
    <w:p w14:paraId="00C804F4" w14:textId="788D231E" w:rsidR="00985032" w:rsidRPr="00A403D3" w:rsidRDefault="00000000" w:rsidP="00F95C7F">
      <w:pPr>
        <w:spacing w:after="0" w:line="240" w:lineRule="auto"/>
      </w:pPr>
      <w:r w:rsidRPr="00A403D3">
        <w:t xml:space="preserve">The Supporters Club played an active role in Lewes community life throughout 2025. Quiz nights, bingo events, sponsored walks, </w:t>
      </w:r>
      <w:r w:rsidR="00711C37">
        <w:t xml:space="preserve">along with </w:t>
      </w:r>
      <w:r w:rsidR="00877658">
        <w:t xml:space="preserve">Lewes Food Bank </w:t>
      </w:r>
      <w:r w:rsidRPr="00A403D3">
        <w:t>collections raised significant funds</w:t>
      </w:r>
      <w:r w:rsidR="00486072">
        <w:t xml:space="preserve"> (~</w:t>
      </w:r>
      <w:r w:rsidR="00486072" w:rsidRPr="00D920E7">
        <w:rPr>
          <w:bCs/>
        </w:rPr>
        <w:t>£</w:t>
      </w:r>
      <w:r w:rsidR="00486072">
        <w:t>6,147)</w:t>
      </w:r>
      <w:r w:rsidRPr="00A403D3">
        <w:t xml:space="preserve"> for local charities and community organisations.</w:t>
      </w:r>
      <w:r w:rsidR="00877658">
        <w:t xml:space="preserve"> </w:t>
      </w:r>
      <w:r w:rsidRPr="00A403D3">
        <w:t xml:space="preserve">Recorded volunteer hours understate the true level of effort, as preparation time </w:t>
      </w:r>
      <w:r w:rsidR="00711C37">
        <w:t xml:space="preserve">for various events </w:t>
      </w:r>
      <w:r w:rsidRPr="00A403D3">
        <w:t>is not fully captured. Narrative accounts emphasise strong partnerships with local businesses and venues</w:t>
      </w:r>
      <w:r w:rsidR="00711C37">
        <w:t xml:space="preserve"> </w:t>
      </w:r>
      <w:r w:rsidRPr="00A403D3">
        <w:t>reinforcing the Club’s role as a civic institution.</w:t>
      </w:r>
      <w:r w:rsidR="0044121A">
        <w:t xml:space="preserve"> Notably, </w:t>
      </w:r>
      <w:r w:rsidR="00985032" w:rsidRPr="00A403D3">
        <w:t xml:space="preserve">the Supporters Club raised </w:t>
      </w:r>
      <w:r w:rsidR="00486072">
        <w:t xml:space="preserve">money </w:t>
      </w:r>
      <w:r w:rsidR="00985032" w:rsidRPr="00A403D3">
        <w:t>for local charities, schools, wildlife rescue organisations, hospices, and community facilities. Quiz nights and bingo events were particularly effective, serving both as fundraising mechanisms and as inclusive social spaces that strengthened local ties.</w:t>
      </w:r>
      <w:r w:rsidR="00711C37">
        <w:t xml:space="preserve"> </w:t>
      </w:r>
      <w:r w:rsidR="00985032" w:rsidRPr="00A403D3">
        <w:t>Qualitative narratives consistently describe the Supporters Club as a civic anchor within Lewes, blending sport, volunteering, humour, and local identity into a coherent community presence.</w:t>
      </w:r>
    </w:p>
    <w:p w14:paraId="24558B26" w14:textId="77777777" w:rsidR="00985032" w:rsidRPr="00A403D3" w:rsidRDefault="00985032" w:rsidP="00F95C7F">
      <w:pPr>
        <w:spacing w:after="0" w:line="240" w:lineRule="auto"/>
      </w:pPr>
    </w:p>
    <w:p w14:paraId="70F95F46" w14:textId="77777777"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6. Dripping Pan Maintenance Volunteers</w:t>
      </w:r>
    </w:p>
    <w:p w14:paraId="22F7492E" w14:textId="77777777" w:rsidR="0016557B" w:rsidRDefault="0016557B" w:rsidP="00F95C7F">
      <w:pPr>
        <w:spacing w:after="0" w:line="240" w:lineRule="auto"/>
      </w:pPr>
    </w:p>
    <w:p w14:paraId="550B0EE3" w14:textId="29C71B46" w:rsidR="008473D8" w:rsidRDefault="00000000" w:rsidP="00F95C7F">
      <w:pPr>
        <w:spacing w:after="0" w:line="240" w:lineRule="auto"/>
      </w:pPr>
      <w:r w:rsidRPr="00A403D3">
        <w:t>Maintenance volunteering followed a consistent weekly pattern throughout the year</w:t>
      </w:r>
      <w:r w:rsidR="008473D8">
        <w:t xml:space="preserve"> </w:t>
      </w:r>
      <w:r w:rsidR="008473D8" w:rsidRPr="00A403D3">
        <w:t>with estimated weekly totals typically around 26 person-hours when two maintenance days were delivered.</w:t>
      </w:r>
      <w:r w:rsidR="008473D8">
        <w:t xml:space="preserve"> </w:t>
      </w:r>
      <w:r w:rsidRPr="00A403D3">
        <w:t>Each quarter recorded approximately 300 or more person</w:t>
      </w:r>
      <w:r w:rsidRPr="00A403D3">
        <w:rPr>
          <w:rFonts w:ascii="Cambria Math" w:hAnsi="Cambria Math" w:cs="Cambria Math"/>
        </w:rPr>
        <w:t>‑</w:t>
      </w:r>
      <w:r w:rsidRPr="00A403D3">
        <w:t>hours of labour, with an average of four volunteers per session, supplemented by additional regular contributions.</w:t>
      </w:r>
      <w:r w:rsidR="0016557B">
        <w:t xml:space="preserve"> </w:t>
      </w:r>
      <w:r w:rsidR="009C7E6A" w:rsidRPr="00A403D3">
        <w:t>Reported maintenance volunteer totals were: Q1 338 hours, Q2 338 hours, Q3 338 hours, and Q4 312 hours (annual total 1</w:t>
      </w:r>
      <w:r w:rsidR="009C7E6A">
        <w:t>,</w:t>
      </w:r>
      <w:r w:rsidR="009C7E6A" w:rsidRPr="00A403D3">
        <w:t>326 hours)</w:t>
      </w:r>
      <w:r w:rsidR="009C7E6A">
        <w:t>.</w:t>
      </w:r>
      <w:r w:rsidR="00826EEF">
        <w:t>E</w:t>
      </w:r>
      <w:r w:rsidR="00826EEF" w:rsidRPr="00A403D3">
        <w:t>stimated maintenance hours exceeded 1,300 person-hours.</w:t>
      </w:r>
      <w:r w:rsidR="00826EEF">
        <w:t xml:space="preserve"> </w:t>
      </w:r>
      <w:r w:rsidR="008473D8" w:rsidRPr="00A403D3">
        <w:t>Volunteer labour frequently substituted for paid services</w:t>
      </w:r>
      <w:r w:rsidR="008473D8">
        <w:t xml:space="preserve"> </w:t>
      </w:r>
      <w:r w:rsidR="008473D8" w:rsidRPr="00A403D3">
        <w:t>substantially extending the Supporters Club’s operational capacity</w:t>
      </w:r>
      <w:r w:rsidR="00826EEF">
        <w:t xml:space="preserve"> </w:t>
      </w:r>
      <w:r w:rsidR="00826EEF" w:rsidRPr="00A403D3">
        <w:t>the Club</w:t>
      </w:r>
      <w:r w:rsidR="00826EEF" w:rsidRPr="00A403D3">
        <w:rPr>
          <w:rFonts w:cs="Garamond"/>
        </w:rPr>
        <w:t>’</w:t>
      </w:r>
      <w:r w:rsidR="00826EEF" w:rsidRPr="00A403D3">
        <w:t>s financial impact.</w:t>
      </w:r>
      <w:r w:rsidR="008473D8" w:rsidRPr="00A403D3">
        <w:t>.</w:t>
      </w:r>
      <w:r w:rsidR="008473D8">
        <w:t xml:space="preserve"> </w:t>
      </w:r>
      <w:r w:rsidRPr="00A403D3">
        <w:t>Qualitative</w:t>
      </w:r>
      <w:r w:rsidR="002146B8">
        <w:t xml:space="preserve"> </w:t>
      </w:r>
      <w:r w:rsidRPr="00A403D3">
        <w:t>reflections highlight camaraderie, humour, and a strong sense of responsibility for the Dripping Pan as a shared community asset.</w:t>
      </w:r>
      <w:r w:rsidR="002146B8">
        <w:t xml:space="preserve"> </w:t>
      </w:r>
      <w:r w:rsidR="00F527A6" w:rsidRPr="00A403D3">
        <w:t>Across quarters, the maintenance narratives emphasi</w:t>
      </w:r>
      <w:r w:rsidR="009C7E6A">
        <w:t>z</w:t>
      </w:r>
      <w:r w:rsidR="00F527A6" w:rsidRPr="00A403D3">
        <w:t>e</w:t>
      </w:r>
      <w:r w:rsidR="009C7E6A">
        <w:t>d</w:t>
      </w:r>
      <w:r w:rsidR="00F527A6" w:rsidRPr="00A403D3">
        <w:t xml:space="preserve"> a high level of practical stewardship: routine readiness tasks ahead of fixtures, ongoing cleaning, repairs, and improvements to facilities. </w:t>
      </w:r>
    </w:p>
    <w:p w14:paraId="6E6E4847" w14:textId="6396B225" w:rsidR="00985032" w:rsidRDefault="00B66798" w:rsidP="00F95C7F">
      <w:pPr>
        <w:spacing w:after="0" w:line="240" w:lineRule="auto"/>
      </w:pPr>
      <w:r w:rsidRPr="00A403D3">
        <w:t xml:space="preserve"> </w:t>
      </w:r>
    </w:p>
    <w:p w14:paraId="35DD7B1F" w14:textId="77777777" w:rsidR="00004B33" w:rsidRDefault="00004B33" w:rsidP="00F95C7F">
      <w:pPr>
        <w:spacing w:after="0" w:line="240" w:lineRule="auto"/>
      </w:pPr>
    </w:p>
    <w:p w14:paraId="19543727" w14:textId="77777777" w:rsidR="00004B33" w:rsidRPr="00A403D3" w:rsidRDefault="00004B33" w:rsidP="00F95C7F">
      <w:pPr>
        <w:spacing w:after="0" w:line="240" w:lineRule="auto"/>
      </w:pPr>
    </w:p>
    <w:p w14:paraId="1C025D04" w14:textId="77777777"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lastRenderedPageBreak/>
        <w:t>7. Fundraising and Expenditures by Source and Month</w:t>
      </w:r>
    </w:p>
    <w:p w14:paraId="565B094E" w14:textId="77777777" w:rsidR="009C7E6A" w:rsidRDefault="009C7E6A" w:rsidP="00F95C7F">
      <w:pPr>
        <w:spacing w:after="0" w:line="240" w:lineRule="auto"/>
      </w:pPr>
    </w:p>
    <w:p w14:paraId="352B9684" w14:textId="4F2493DF" w:rsidR="00C65F87" w:rsidRPr="00A403D3" w:rsidRDefault="00000000" w:rsidP="00004B33">
      <w:pPr>
        <w:spacing w:after="0" w:line="240" w:lineRule="auto"/>
      </w:pPr>
      <w:r w:rsidRPr="00A403D3">
        <w:t xml:space="preserve">Fundraising income was generated through a diverse mix of </w:t>
      </w:r>
      <w:r w:rsidR="0055109C">
        <w:t>matchday</w:t>
      </w:r>
      <w:r w:rsidRPr="00A403D3">
        <w:t xml:space="preserve"> activities</w:t>
      </w:r>
      <w:r w:rsidR="0003418F">
        <w:t xml:space="preserve"> (e.g., raffles, golden goal), </w:t>
      </w:r>
      <w:r w:rsidRPr="00A403D3">
        <w:t>special events</w:t>
      </w:r>
      <w:r w:rsidR="0003418F">
        <w:t xml:space="preserve"> (e.g., </w:t>
      </w:r>
      <w:r w:rsidR="00C62711">
        <w:t xml:space="preserve">golf day, sponsored walk, </w:t>
      </w:r>
      <w:r w:rsidR="0003418F">
        <w:t>quiz and bingo nights, and seasonal raffle), and Pan 4 Gold</w:t>
      </w:r>
      <w:r w:rsidRPr="00A403D3">
        <w:t xml:space="preserve">. Monthly and quarterly net </w:t>
      </w:r>
      <w:r w:rsidR="0003418F">
        <w:t xml:space="preserve">financial </w:t>
      </w:r>
      <w:r w:rsidRPr="00A403D3">
        <w:t>positions fluctuated</w:t>
      </w:r>
      <w:r w:rsidR="0003418F">
        <w:t xml:space="preserve"> </w:t>
      </w:r>
      <w:r w:rsidR="0003418F" w:rsidRPr="00A403D3">
        <w:t xml:space="preserve">with large outflows aligned </w:t>
      </w:r>
      <w:r w:rsidR="00045B2B">
        <w:t>with</w:t>
      </w:r>
      <w:r w:rsidR="0003418F" w:rsidRPr="00A403D3">
        <w:t xml:space="preserve"> major one-off spending (e.g., donations</w:t>
      </w:r>
      <w:r w:rsidR="00045B2B">
        <w:t xml:space="preserve"> to LFC</w:t>
      </w:r>
      <w:r w:rsidR="0003418F" w:rsidRPr="00A403D3">
        <w:t xml:space="preserve"> and large purchases</w:t>
      </w:r>
      <w:r w:rsidR="0003418F">
        <w:t xml:space="preserve"> to and for</w:t>
      </w:r>
      <w:r w:rsidR="00045B2B">
        <w:t xml:space="preserve"> Dripping Pan maintenance</w:t>
      </w:r>
      <w:r w:rsidR="0003418F" w:rsidRPr="00A403D3">
        <w:t xml:space="preserve">) and surpluses aligned </w:t>
      </w:r>
      <w:r w:rsidR="0003418F">
        <w:t xml:space="preserve">with </w:t>
      </w:r>
      <w:r w:rsidR="0003418F" w:rsidRPr="00A403D3">
        <w:t xml:space="preserve">stronger </w:t>
      </w:r>
      <w:r w:rsidR="0055109C">
        <w:t>matchday</w:t>
      </w:r>
      <w:r w:rsidR="0003418F" w:rsidRPr="00A403D3">
        <w:t xml:space="preserve"> and event income.</w:t>
      </w:r>
      <w:r w:rsidR="0003418F">
        <w:t xml:space="preserve"> </w:t>
      </w:r>
      <w:r w:rsidR="00045B2B">
        <w:t>As such, i</w:t>
      </w:r>
      <w:r w:rsidR="00045B2B" w:rsidRPr="00A403D3">
        <w:t>ncome and expenditure varied by quarter</w:t>
      </w:r>
      <w:r w:rsidR="00045B2B">
        <w:t xml:space="preserve"> </w:t>
      </w:r>
      <w:r w:rsidR="00C62711">
        <w:t xml:space="preserve">as explained by </w:t>
      </w:r>
      <w:r w:rsidR="00045B2B" w:rsidRPr="00A403D3">
        <w:t>the timing of fundraising events and match schedules</w:t>
      </w:r>
      <w:r w:rsidR="00045B2B">
        <w:t xml:space="preserve"> with </w:t>
      </w:r>
      <w:r w:rsidR="00045B2B" w:rsidRPr="00A403D3">
        <w:t>Q2 and Q3 record</w:t>
      </w:r>
      <w:r w:rsidR="00045B2B">
        <w:t>ing</w:t>
      </w:r>
      <w:r w:rsidR="00045B2B" w:rsidRPr="00A403D3">
        <w:t xml:space="preserve"> net surpluses</w:t>
      </w:r>
      <w:r w:rsidR="00045B2B">
        <w:t xml:space="preserve"> </w:t>
      </w:r>
      <w:r w:rsidR="00045B2B" w:rsidRPr="00A403D3">
        <w:t>while Q1 and Q4 reflected net outflows</w:t>
      </w:r>
      <w:r w:rsidR="00045B2B">
        <w:t xml:space="preserve">. </w:t>
      </w:r>
      <w:r w:rsidR="00045B2B" w:rsidRPr="00A403D3">
        <w:t xml:space="preserve"> </w:t>
      </w:r>
      <w:r w:rsidR="0003418F">
        <w:t xml:space="preserve">Over </w:t>
      </w:r>
      <w:r w:rsidRPr="00A403D3">
        <w:t>the year</w:t>
      </w:r>
      <w:r w:rsidR="0003418F">
        <w:t xml:space="preserve"> </w:t>
      </w:r>
      <w:r w:rsidRPr="00A403D3">
        <w:t xml:space="preserve">financial patterns suggest </w:t>
      </w:r>
      <w:r w:rsidR="00045B2B">
        <w:t xml:space="preserve">a balanced approach between </w:t>
      </w:r>
      <w:r w:rsidRPr="00A403D3">
        <w:t>deliberate reinvestment in the club and community rather than instability</w:t>
      </w:r>
      <w:r w:rsidR="0003418F">
        <w:t xml:space="preserve"> as </w:t>
      </w:r>
      <w:r w:rsidRPr="00A403D3">
        <w:t>supported by consistent grassroots fundraising.</w:t>
      </w:r>
      <w:r w:rsidR="00045B2B">
        <w:t xml:space="preserve"> </w:t>
      </w:r>
      <w:r w:rsidR="00F527A6" w:rsidRPr="00A403D3">
        <w:t xml:space="preserve">Total income recorded </w:t>
      </w:r>
      <w:r w:rsidR="0003418F">
        <w:t xml:space="preserve">in </w:t>
      </w:r>
      <w:r w:rsidR="00F527A6" w:rsidRPr="00A403D3">
        <w:t>2025 was £25,292.45</w:t>
      </w:r>
      <w:r w:rsidR="0003418F">
        <w:t xml:space="preserve"> with t</w:t>
      </w:r>
      <w:r w:rsidR="00F527A6" w:rsidRPr="00A403D3">
        <w:t xml:space="preserve">otal expenditures </w:t>
      </w:r>
      <w:r w:rsidR="0003418F">
        <w:t>of</w:t>
      </w:r>
      <w:r w:rsidR="00F527A6" w:rsidRPr="00A403D3">
        <w:t xml:space="preserve"> £26,112.93. </w:t>
      </w:r>
      <w:r w:rsidR="00045B2B" w:rsidRPr="00A403D3">
        <w:t>Despite quarterly fluctuations</w:t>
      </w:r>
      <w:r w:rsidR="00045B2B">
        <w:t xml:space="preserve"> (n</w:t>
      </w:r>
      <w:r w:rsidR="00045B2B" w:rsidRPr="00A403D3">
        <w:t>et cash flow across the year (sum of monthly net cash flow</w:t>
      </w:r>
      <w:r w:rsidR="00C62711">
        <w:t xml:space="preserve"> </w:t>
      </w:r>
      <w:r w:rsidR="00045B2B" w:rsidRPr="00A403D3">
        <w:t>was £-759.16</w:t>
      </w:r>
      <w:r w:rsidR="00045B2B">
        <w:t>)</w:t>
      </w:r>
      <w:r w:rsidR="00C62711">
        <w:t xml:space="preserve"> </w:t>
      </w:r>
      <w:r w:rsidR="00045B2B" w:rsidRPr="00A403D3">
        <w:t xml:space="preserve">the Supporters Club ended 2025 with a stable financial position </w:t>
      </w:r>
      <w:r w:rsidR="00C62711">
        <w:t xml:space="preserve">given an ending account balance of </w:t>
      </w:r>
      <w:r w:rsidR="00C62711" w:rsidRPr="002D2D65">
        <w:rPr>
          <w:bCs/>
        </w:rPr>
        <w:t>£</w:t>
      </w:r>
      <w:r w:rsidR="003D6422" w:rsidRPr="003D6422">
        <w:rPr>
          <w:bCs/>
        </w:rPr>
        <w:t>11,367.82</w:t>
      </w:r>
      <w:r w:rsidR="003D6422">
        <w:rPr>
          <w:bCs/>
        </w:rPr>
        <w:t xml:space="preserve"> </w:t>
      </w:r>
      <w:r w:rsidR="00045B2B" w:rsidRPr="00A403D3">
        <w:t>and a positive capacity to continue supporting club operations and community initiatives.</w:t>
      </w:r>
      <w:r w:rsidR="00C62711">
        <w:t xml:space="preserve"> </w:t>
      </w:r>
      <w:r w:rsidR="00F527A6" w:rsidRPr="00A403D3">
        <w:br/>
      </w:r>
      <w:r w:rsidR="00C65F87" w:rsidRPr="00A403D3">
        <w:rPr>
          <w:noProof/>
        </w:rPr>
        <w:drawing>
          <wp:inline distT="0" distB="0" distL="0" distR="0" wp14:anchorId="2339138F" wp14:editId="3270349F">
            <wp:extent cx="5486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_income_vs_expenditures.png"/>
                    <pic:cNvPicPr/>
                  </pic:nvPicPr>
                  <pic:blipFill>
                    <a:blip r:embed="rId13"/>
                    <a:stretch>
                      <a:fillRect/>
                    </a:stretch>
                  </pic:blipFill>
                  <pic:spPr>
                    <a:xfrm>
                      <a:off x="0" y="0"/>
                      <a:ext cx="5486400" cy="4114800"/>
                    </a:xfrm>
                    <a:prstGeom prst="rect">
                      <a:avLst/>
                    </a:prstGeom>
                  </pic:spPr>
                </pic:pic>
              </a:graphicData>
            </a:graphic>
          </wp:inline>
        </w:drawing>
      </w:r>
    </w:p>
    <w:p w14:paraId="046E7EB0" w14:textId="77777777" w:rsidR="0065286B" w:rsidRPr="00A403D3" w:rsidRDefault="0065286B" w:rsidP="00F95C7F">
      <w:pPr>
        <w:spacing w:after="0" w:line="240" w:lineRule="auto"/>
        <w:jc w:val="center"/>
      </w:pPr>
      <w:r w:rsidRPr="00A403D3">
        <w:rPr>
          <w:i/>
        </w:rPr>
        <w:t>Figure 3. Supporters Club cash flow: income vs expenditures (quarterly totals).</w:t>
      </w:r>
    </w:p>
    <w:p w14:paraId="4649487B" w14:textId="77777777" w:rsidR="0065286B" w:rsidRPr="00A403D3" w:rsidRDefault="0065286B" w:rsidP="00F95C7F">
      <w:pPr>
        <w:pStyle w:val="Heading2"/>
        <w:spacing w:before="0" w:line="240" w:lineRule="auto"/>
        <w:rPr>
          <w:rFonts w:ascii="Garamond" w:hAnsi="Garamond"/>
          <w:color w:val="auto"/>
        </w:rPr>
      </w:pPr>
    </w:p>
    <w:p w14:paraId="0AE79992" w14:textId="613EEE4F"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8. Match</w:t>
      </w:r>
      <w:r w:rsidRPr="00A403D3">
        <w:rPr>
          <w:rFonts w:ascii="Cambria Math" w:hAnsi="Cambria Math" w:cs="Cambria Math"/>
          <w:color w:val="auto"/>
        </w:rPr>
        <w:t>‑</w:t>
      </w:r>
      <w:r w:rsidRPr="00A403D3">
        <w:rPr>
          <w:rFonts w:ascii="Garamond" w:hAnsi="Garamond"/>
          <w:color w:val="auto"/>
        </w:rPr>
        <w:t>day Volunteers, Operations, and Coverage</w:t>
      </w:r>
    </w:p>
    <w:p w14:paraId="102752B1" w14:textId="77777777" w:rsidR="00C62711" w:rsidRDefault="00C62711" w:rsidP="00F95C7F">
      <w:pPr>
        <w:spacing w:after="0" w:line="240" w:lineRule="auto"/>
      </w:pPr>
    </w:p>
    <w:p w14:paraId="5AB36302" w14:textId="25F5DFBE" w:rsidR="00377596" w:rsidRPr="00A403D3" w:rsidRDefault="00000000" w:rsidP="00F95C7F">
      <w:pPr>
        <w:spacing w:after="0" w:line="240" w:lineRule="auto"/>
      </w:pPr>
      <w:r w:rsidRPr="00A403D3">
        <w:t>Matchday operations relied heavily on volunteer labour across men</w:t>
      </w:r>
      <w:r w:rsidRPr="00A403D3">
        <w:rPr>
          <w:rFonts w:cs="Garamond"/>
        </w:rPr>
        <w:t>’</w:t>
      </w:r>
      <w:r w:rsidRPr="00A403D3">
        <w:t>s and women</w:t>
      </w:r>
      <w:r w:rsidRPr="00A403D3">
        <w:rPr>
          <w:rFonts w:cs="Garamond"/>
        </w:rPr>
        <w:t>’</w:t>
      </w:r>
      <w:r w:rsidRPr="00A403D3">
        <w:t>s fixtures. Coverage of scheduled shifts</w:t>
      </w:r>
      <w:r w:rsidR="00F34D79">
        <w:t xml:space="preserve"> was reliably consistent</w:t>
      </w:r>
      <w:r w:rsidR="00FC0213">
        <w:t xml:space="preserve"> and well-coordinated</w:t>
      </w:r>
      <w:r w:rsidR="00F34D79">
        <w:t>,</w:t>
      </w:r>
      <w:r w:rsidRPr="00A403D3">
        <w:t xml:space="preserve"> typically exceed</w:t>
      </w:r>
      <w:r w:rsidR="00F34D79">
        <w:t>ing</w:t>
      </w:r>
      <w:r w:rsidRPr="00A403D3">
        <w:t xml:space="preserve"> 90%</w:t>
      </w:r>
      <w:r w:rsidR="00F34D79">
        <w:t>,</w:t>
      </w:r>
      <w:r w:rsidR="0055109C">
        <w:t xml:space="preserve"> </w:t>
      </w:r>
      <w:r w:rsidRPr="00A403D3">
        <w:t xml:space="preserve">demonstrating </w:t>
      </w:r>
      <w:r w:rsidR="00FC0213">
        <w:t xml:space="preserve">but </w:t>
      </w:r>
      <w:r w:rsidR="00F34D79" w:rsidRPr="00A403D3">
        <w:t>with occasional gaps in specific roles and several fixtures supported by paid staff for PA or other functions.</w:t>
      </w:r>
      <w:r w:rsidR="00F34D79">
        <w:t xml:space="preserve"> </w:t>
      </w:r>
      <w:r w:rsidRPr="00A403D3">
        <w:t xml:space="preserve">Roles spanned </w:t>
      </w:r>
      <w:r w:rsidR="00F34D79">
        <w:t xml:space="preserve">season ticket gate, </w:t>
      </w:r>
      <w:r w:rsidRPr="00A403D3">
        <w:t>turnstiles, hospitality, raffles, PA announc</w:t>
      </w:r>
      <w:r w:rsidR="00F34D79">
        <w:t>er</w:t>
      </w:r>
      <w:r w:rsidRPr="00A403D3">
        <w:t>, and online commentary. While inclusive</w:t>
      </w:r>
      <w:r w:rsidRPr="00A403D3">
        <w:rPr>
          <w:rFonts w:ascii="Cambria Math" w:hAnsi="Cambria Math" w:cs="Cambria Math"/>
        </w:rPr>
        <w:t>‑</w:t>
      </w:r>
      <w:r w:rsidRPr="00A403D3">
        <w:t>access measures were limited, overall matchday delivery was strong and dependable.</w:t>
      </w:r>
      <w:r w:rsidR="0055109C">
        <w:t xml:space="preserve"> </w:t>
      </w:r>
      <w:r w:rsidR="00F34D79">
        <w:t>Over</w:t>
      </w:r>
      <w:r w:rsidR="00F527A6" w:rsidRPr="00A403D3">
        <w:t xml:space="preserve"> the year, </w:t>
      </w:r>
      <w:r w:rsidR="00F34D79">
        <w:t>ma</w:t>
      </w:r>
      <w:r w:rsidR="0055109C">
        <w:t>tchday</w:t>
      </w:r>
      <w:r w:rsidR="00F527A6" w:rsidRPr="00A403D3">
        <w:t xml:space="preserve"> </w:t>
      </w:r>
      <w:r w:rsidR="00F34D79">
        <w:t xml:space="preserve">data </w:t>
      </w:r>
      <w:r w:rsidR="00F527A6" w:rsidRPr="00A403D3">
        <w:t xml:space="preserve">tables recorded 44 matches </w:t>
      </w:r>
      <w:r w:rsidR="00F34D79">
        <w:t xml:space="preserve">with </w:t>
      </w:r>
      <w:r w:rsidR="00F34D79">
        <w:lastRenderedPageBreak/>
        <w:t>t</w:t>
      </w:r>
      <w:r w:rsidR="00F527A6" w:rsidRPr="00A403D3">
        <w:t xml:space="preserve">otal scheduled (estimated) </w:t>
      </w:r>
      <w:r w:rsidR="00F34D79">
        <w:t>m</w:t>
      </w:r>
      <w:r w:rsidR="0055109C">
        <w:t>atchday</w:t>
      </w:r>
      <w:r w:rsidR="00F527A6" w:rsidRPr="00A403D3">
        <w:t xml:space="preserve"> volunteer hours </w:t>
      </w:r>
      <w:r w:rsidR="00F34D79">
        <w:t>of</w:t>
      </w:r>
      <w:r w:rsidR="00F527A6" w:rsidRPr="00A403D3">
        <w:t xml:space="preserve"> 2,172.25 hours with an average of 49.37 hours per match. Coverage percentages varied by fixture but were generally high.</w:t>
      </w:r>
      <w:r w:rsidR="00FC0213">
        <w:t xml:space="preserve"> </w:t>
      </w:r>
      <w:r w:rsidR="00F527A6" w:rsidRPr="00A403D3">
        <w:t>Narrative notes also track</w:t>
      </w:r>
      <w:r w:rsidR="00FC0213">
        <w:t>ed</w:t>
      </w:r>
      <w:r w:rsidR="00F527A6" w:rsidRPr="00A403D3">
        <w:t xml:space="preserve"> community-access metrics (e.g., sponsored beach huts/community groups) which were limited </w:t>
      </w:r>
      <w:r w:rsidR="00FC0213">
        <w:t>throughout the year</w:t>
      </w:r>
      <w:r w:rsidR="00F527A6" w:rsidRPr="00A403D3">
        <w:t>.</w:t>
      </w:r>
    </w:p>
    <w:p w14:paraId="1CDA9439" w14:textId="77777777" w:rsidR="00377596" w:rsidRPr="00A403D3" w:rsidRDefault="00377596" w:rsidP="00F95C7F">
      <w:pPr>
        <w:spacing w:after="0" w:line="240" w:lineRule="auto"/>
      </w:pPr>
    </w:p>
    <w:p w14:paraId="78415C81" w14:textId="2D4296F5" w:rsidR="00BB06E7" w:rsidRPr="00FC0213" w:rsidRDefault="0055109C" w:rsidP="00F95C7F">
      <w:pPr>
        <w:spacing w:after="0" w:line="240" w:lineRule="auto"/>
        <w:rPr>
          <w:b/>
          <w:bCs/>
        </w:rPr>
      </w:pPr>
      <w:r w:rsidRPr="00FC0213">
        <w:rPr>
          <w:b/>
          <w:bCs/>
        </w:rPr>
        <w:t>Matchday</w:t>
      </w:r>
      <w:r w:rsidR="00BB06E7" w:rsidRPr="00FC0213">
        <w:rPr>
          <w:b/>
          <w:bCs/>
        </w:rPr>
        <w:t xml:space="preserve"> </w:t>
      </w:r>
      <w:r w:rsidR="00FC0213" w:rsidRPr="00FC0213">
        <w:rPr>
          <w:b/>
          <w:bCs/>
        </w:rPr>
        <w:t>C</w:t>
      </w:r>
      <w:r w:rsidR="00BB06E7" w:rsidRPr="00FC0213">
        <w:rPr>
          <w:b/>
          <w:bCs/>
        </w:rPr>
        <w:t xml:space="preserve">overage </w:t>
      </w:r>
    </w:p>
    <w:p w14:paraId="6F0AFA63" w14:textId="77777777" w:rsidR="00FC0213" w:rsidRPr="00A403D3" w:rsidRDefault="00FC0213" w:rsidP="00F95C7F">
      <w:pPr>
        <w:spacing w:after="0" w:line="240" w:lineRule="auto"/>
      </w:pPr>
    </w:p>
    <w:tbl>
      <w:tblPr>
        <w:tblStyle w:val="GridTable4"/>
        <w:tblW w:w="0" w:type="auto"/>
        <w:tblLook w:val="04A0" w:firstRow="1" w:lastRow="0" w:firstColumn="1" w:lastColumn="0" w:noHBand="0" w:noVBand="1"/>
      </w:tblPr>
      <w:tblGrid>
        <w:gridCol w:w="2160"/>
        <w:gridCol w:w="2160"/>
        <w:gridCol w:w="2160"/>
        <w:gridCol w:w="2160"/>
      </w:tblGrid>
      <w:tr w:rsidR="00BB06E7" w:rsidRPr="00A403D3" w14:paraId="1B627F2B" w14:textId="77777777" w:rsidTr="00FC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E86CA81" w14:textId="77777777" w:rsidR="00BB06E7" w:rsidRPr="00A403D3" w:rsidRDefault="00BB06E7" w:rsidP="00F95C7F">
            <w:r w:rsidRPr="00A403D3">
              <w:t>Quarter</w:t>
            </w:r>
          </w:p>
        </w:tc>
        <w:tc>
          <w:tcPr>
            <w:tcW w:w="2160" w:type="dxa"/>
          </w:tcPr>
          <w:p w14:paraId="1413AAA1" w14:textId="77777777" w:rsidR="00BB06E7" w:rsidRPr="00A403D3" w:rsidRDefault="00BB06E7" w:rsidP="00F95C7F">
            <w:pPr>
              <w:cnfStyle w:val="100000000000" w:firstRow="1" w:lastRow="0" w:firstColumn="0" w:lastColumn="0" w:oddVBand="0" w:evenVBand="0" w:oddHBand="0" w:evenHBand="0" w:firstRowFirstColumn="0" w:firstRowLastColumn="0" w:lastRowFirstColumn="0" w:lastRowLastColumn="0"/>
            </w:pPr>
            <w:r w:rsidRPr="00A403D3">
              <w:t>Matches</w:t>
            </w:r>
          </w:p>
        </w:tc>
        <w:tc>
          <w:tcPr>
            <w:tcW w:w="2160" w:type="dxa"/>
          </w:tcPr>
          <w:p w14:paraId="5185AE64" w14:textId="77777777" w:rsidR="00BB06E7" w:rsidRPr="00A403D3" w:rsidRDefault="00BB06E7" w:rsidP="00F95C7F">
            <w:pPr>
              <w:cnfStyle w:val="100000000000" w:firstRow="1" w:lastRow="0" w:firstColumn="0" w:lastColumn="0" w:oddVBand="0" w:evenVBand="0" w:oddHBand="0" w:evenHBand="0" w:firstRowFirstColumn="0" w:firstRowLastColumn="0" w:lastRowFirstColumn="0" w:lastRowLastColumn="0"/>
            </w:pPr>
            <w:r w:rsidRPr="00A403D3">
              <w:t>Avg Coverage</w:t>
            </w:r>
          </w:p>
        </w:tc>
        <w:tc>
          <w:tcPr>
            <w:tcW w:w="2160" w:type="dxa"/>
          </w:tcPr>
          <w:p w14:paraId="10800C3F" w14:textId="77777777" w:rsidR="00BB06E7" w:rsidRPr="00A403D3" w:rsidRDefault="00BB06E7" w:rsidP="00F95C7F">
            <w:pPr>
              <w:cnfStyle w:val="100000000000" w:firstRow="1" w:lastRow="0" w:firstColumn="0" w:lastColumn="0" w:oddVBand="0" w:evenVBand="0" w:oddHBand="0" w:evenHBand="0" w:firstRowFirstColumn="0" w:firstRowLastColumn="0" w:lastRowFirstColumn="0" w:lastRowLastColumn="0"/>
            </w:pPr>
            <w:r w:rsidRPr="00A403D3">
              <w:t>Volunteer Hours</w:t>
            </w:r>
          </w:p>
        </w:tc>
      </w:tr>
      <w:tr w:rsidR="00BB06E7" w:rsidRPr="00A403D3" w14:paraId="63A2E899" w14:textId="77777777" w:rsidTr="00FC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CB54387" w14:textId="77777777" w:rsidR="00BB06E7" w:rsidRPr="00A403D3" w:rsidRDefault="00BB06E7" w:rsidP="00F95C7F">
            <w:r w:rsidRPr="00A403D3">
              <w:t>Q1</w:t>
            </w:r>
          </w:p>
        </w:tc>
        <w:tc>
          <w:tcPr>
            <w:tcW w:w="2160" w:type="dxa"/>
          </w:tcPr>
          <w:p w14:paraId="40EC60A5"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11</w:t>
            </w:r>
          </w:p>
        </w:tc>
        <w:tc>
          <w:tcPr>
            <w:tcW w:w="2160" w:type="dxa"/>
          </w:tcPr>
          <w:p w14:paraId="4744622C"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94%</w:t>
            </w:r>
          </w:p>
        </w:tc>
        <w:tc>
          <w:tcPr>
            <w:tcW w:w="2160" w:type="dxa"/>
          </w:tcPr>
          <w:p w14:paraId="25770FB9"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540</w:t>
            </w:r>
          </w:p>
        </w:tc>
      </w:tr>
      <w:tr w:rsidR="00BB06E7" w:rsidRPr="00A403D3" w14:paraId="56E4A7E2" w14:textId="77777777" w:rsidTr="00FC0213">
        <w:tc>
          <w:tcPr>
            <w:cnfStyle w:val="001000000000" w:firstRow="0" w:lastRow="0" w:firstColumn="1" w:lastColumn="0" w:oddVBand="0" w:evenVBand="0" w:oddHBand="0" w:evenHBand="0" w:firstRowFirstColumn="0" w:firstRowLastColumn="0" w:lastRowFirstColumn="0" w:lastRowLastColumn="0"/>
            <w:tcW w:w="2160" w:type="dxa"/>
          </w:tcPr>
          <w:p w14:paraId="7BC21EDA" w14:textId="77777777" w:rsidR="00BB06E7" w:rsidRPr="00A403D3" w:rsidRDefault="00BB06E7" w:rsidP="00F95C7F">
            <w:r w:rsidRPr="00A403D3">
              <w:t>Q2</w:t>
            </w:r>
          </w:p>
        </w:tc>
        <w:tc>
          <w:tcPr>
            <w:tcW w:w="2160" w:type="dxa"/>
          </w:tcPr>
          <w:p w14:paraId="61269943"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12</w:t>
            </w:r>
          </w:p>
        </w:tc>
        <w:tc>
          <w:tcPr>
            <w:tcW w:w="2160" w:type="dxa"/>
          </w:tcPr>
          <w:p w14:paraId="20D29A26"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96%</w:t>
            </w:r>
          </w:p>
        </w:tc>
        <w:tc>
          <w:tcPr>
            <w:tcW w:w="2160" w:type="dxa"/>
          </w:tcPr>
          <w:p w14:paraId="4A70727B"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612</w:t>
            </w:r>
          </w:p>
        </w:tc>
      </w:tr>
      <w:tr w:rsidR="00BB06E7" w:rsidRPr="00A403D3" w14:paraId="768A8657" w14:textId="77777777" w:rsidTr="00FC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D0962B8" w14:textId="77777777" w:rsidR="00BB06E7" w:rsidRPr="00A403D3" w:rsidRDefault="00BB06E7" w:rsidP="00F95C7F">
            <w:r w:rsidRPr="00A403D3">
              <w:t>Q3</w:t>
            </w:r>
          </w:p>
        </w:tc>
        <w:tc>
          <w:tcPr>
            <w:tcW w:w="2160" w:type="dxa"/>
          </w:tcPr>
          <w:p w14:paraId="0C1CE99D"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11</w:t>
            </w:r>
          </w:p>
        </w:tc>
        <w:tc>
          <w:tcPr>
            <w:tcW w:w="2160" w:type="dxa"/>
          </w:tcPr>
          <w:p w14:paraId="4C3AEB6D"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95%</w:t>
            </w:r>
          </w:p>
        </w:tc>
        <w:tc>
          <w:tcPr>
            <w:tcW w:w="2160" w:type="dxa"/>
          </w:tcPr>
          <w:p w14:paraId="0B6681B4"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510</w:t>
            </w:r>
          </w:p>
        </w:tc>
      </w:tr>
      <w:tr w:rsidR="00BB06E7" w:rsidRPr="00A403D3" w14:paraId="2446A721" w14:textId="77777777" w:rsidTr="00FC0213">
        <w:tc>
          <w:tcPr>
            <w:cnfStyle w:val="001000000000" w:firstRow="0" w:lastRow="0" w:firstColumn="1" w:lastColumn="0" w:oddVBand="0" w:evenVBand="0" w:oddHBand="0" w:evenHBand="0" w:firstRowFirstColumn="0" w:firstRowLastColumn="0" w:lastRowFirstColumn="0" w:lastRowLastColumn="0"/>
            <w:tcW w:w="2160" w:type="dxa"/>
          </w:tcPr>
          <w:p w14:paraId="3B50C166" w14:textId="77777777" w:rsidR="00BB06E7" w:rsidRPr="00A403D3" w:rsidRDefault="00BB06E7" w:rsidP="00F95C7F">
            <w:r w:rsidRPr="00A403D3">
              <w:t>Q4</w:t>
            </w:r>
          </w:p>
        </w:tc>
        <w:tc>
          <w:tcPr>
            <w:tcW w:w="2160" w:type="dxa"/>
          </w:tcPr>
          <w:p w14:paraId="24184165"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10</w:t>
            </w:r>
          </w:p>
        </w:tc>
        <w:tc>
          <w:tcPr>
            <w:tcW w:w="2160" w:type="dxa"/>
          </w:tcPr>
          <w:p w14:paraId="51918347"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93%</w:t>
            </w:r>
          </w:p>
        </w:tc>
        <w:tc>
          <w:tcPr>
            <w:tcW w:w="2160" w:type="dxa"/>
          </w:tcPr>
          <w:p w14:paraId="56660E7D" w14:textId="77777777" w:rsidR="00BB06E7" w:rsidRPr="00A403D3" w:rsidRDefault="00BB06E7" w:rsidP="00F95C7F">
            <w:pPr>
              <w:cnfStyle w:val="000000000000" w:firstRow="0" w:lastRow="0" w:firstColumn="0" w:lastColumn="0" w:oddVBand="0" w:evenVBand="0" w:oddHBand="0" w:evenHBand="0" w:firstRowFirstColumn="0" w:firstRowLastColumn="0" w:lastRowFirstColumn="0" w:lastRowLastColumn="0"/>
            </w:pPr>
            <w:r w:rsidRPr="00A403D3">
              <w:t>510</w:t>
            </w:r>
          </w:p>
        </w:tc>
      </w:tr>
      <w:tr w:rsidR="00BB06E7" w:rsidRPr="00A403D3" w14:paraId="70131F66" w14:textId="77777777" w:rsidTr="00FC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5866F09" w14:textId="77777777" w:rsidR="00BB06E7" w:rsidRPr="00A403D3" w:rsidRDefault="00BB06E7" w:rsidP="00F95C7F">
            <w:r w:rsidRPr="00A403D3">
              <w:t>2025 Total</w:t>
            </w:r>
          </w:p>
        </w:tc>
        <w:tc>
          <w:tcPr>
            <w:tcW w:w="2160" w:type="dxa"/>
          </w:tcPr>
          <w:p w14:paraId="515E8223"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44</w:t>
            </w:r>
          </w:p>
        </w:tc>
        <w:tc>
          <w:tcPr>
            <w:tcW w:w="2160" w:type="dxa"/>
          </w:tcPr>
          <w:p w14:paraId="31B358B3" w14:textId="77777777"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95%</w:t>
            </w:r>
          </w:p>
        </w:tc>
        <w:tc>
          <w:tcPr>
            <w:tcW w:w="2160" w:type="dxa"/>
          </w:tcPr>
          <w:p w14:paraId="485E98A7" w14:textId="1B3A7178" w:rsidR="00BB06E7" w:rsidRPr="00A403D3" w:rsidRDefault="00BB06E7" w:rsidP="00F95C7F">
            <w:pPr>
              <w:cnfStyle w:val="000000100000" w:firstRow="0" w:lastRow="0" w:firstColumn="0" w:lastColumn="0" w:oddVBand="0" w:evenVBand="0" w:oddHBand="1" w:evenHBand="0" w:firstRowFirstColumn="0" w:firstRowLastColumn="0" w:lastRowFirstColumn="0" w:lastRowLastColumn="0"/>
            </w:pPr>
            <w:r w:rsidRPr="00A403D3">
              <w:t>2</w:t>
            </w:r>
            <w:r w:rsidR="001C4E90">
              <w:t>,</w:t>
            </w:r>
            <w:r w:rsidRPr="00A403D3">
              <w:t>172</w:t>
            </w:r>
          </w:p>
        </w:tc>
      </w:tr>
    </w:tbl>
    <w:p w14:paraId="24CE86E0" w14:textId="22191459" w:rsidR="009B26A8" w:rsidRPr="00A403D3" w:rsidRDefault="009B26A8" w:rsidP="001C4E90">
      <w:pPr>
        <w:pStyle w:val="Heading2"/>
        <w:spacing w:before="0" w:line="240" w:lineRule="auto"/>
        <w:jc w:val="center"/>
        <w:rPr>
          <w:rFonts w:ascii="Garamond" w:hAnsi="Garamond"/>
          <w:color w:val="auto"/>
        </w:rPr>
      </w:pPr>
      <w:r w:rsidRPr="00A403D3">
        <w:rPr>
          <w:rFonts w:ascii="Garamond" w:hAnsi="Garamond"/>
          <w:noProof/>
          <w:color w:val="auto"/>
        </w:rPr>
        <w:drawing>
          <wp:inline distT="0" distB="0" distL="0" distR="0" wp14:anchorId="372E4D0F" wp14:editId="56197720">
            <wp:extent cx="548640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_coverage_by_match.png"/>
                    <pic:cNvPicPr/>
                  </pic:nvPicPr>
                  <pic:blipFill>
                    <a:blip r:embed="rId14"/>
                    <a:stretch>
                      <a:fillRect/>
                    </a:stretch>
                  </pic:blipFill>
                  <pic:spPr>
                    <a:xfrm>
                      <a:off x="0" y="0"/>
                      <a:ext cx="5486400" cy="4114800"/>
                    </a:xfrm>
                    <a:prstGeom prst="rect">
                      <a:avLst/>
                    </a:prstGeom>
                  </pic:spPr>
                </pic:pic>
              </a:graphicData>
            </a:graphic>
          </wp:inline>
        </w:drawing>
      </w:r>
    </w:p>
    <w:p w14:paraId="4F49D64E" w14:textId="1F27F4BC" w:rsidR="009B26A8" w:rsidRPr="00A403D3" w:rsidRDefault="009B26A8" w:rsidP="00F95C7F">
      <w:pPr>
        <w:spacing w:after="0" w:line="240" w:lineRule="auto"/>
      </w:pPr>
      <w:r w:rsidRPr="00A403D3">
        <w:rPr>
          <w:i/>
        </w:rPr>
        <w:t xml:space="preserve">Figure 7. </w:t>
      </w:r>
      <w:r w:rsidR="0055109C">
        <w:rPr>
          <w:i/>
        </w:rPr>
        <w:t>Matchday</w:t>
      </w:r>
      <w:r w:rsidRPr="00A403D3">
        <w:rPr>
          <w:i/>
        </w:rPr>
        <w:t xml:space="preserve"> volunteer coverage by match (percent of scheduled shifts covered by volunteers; chronological order across 2025).</w:t>
      </w:r>
    </w:p>
    <w:p w14:paraId="1567EF09" w14:textId="77777777" w:rsidR="009B26A8" w:rsidRPr="00A403D3" w:rsidRDefault="009B26A8" w:rsidP="00F95C7F">
      <w:pPr>
        <w:pStyle w:val="Heading2"/>
        <w:spacing w:before="0" w:line="240" w:lineRule="auto"/>
        <w:rPr>
          <w:rFonts w:ascii="Garamond" w:hAnsi="Garamond"/>
          <w:color w:val="auto"/>
        </w:rPr>
      </w:pPr>
    </w:p>
    <w:p w14:paraId="1AD23E32" w14:textId="67BE9506" w:rsidR="00F527A6" w:rsidRPr="00A403D3" w:rsidRDefault="00F527A6" w:rsidP="00F95C7F">
      <w:pPr>
        <w:pStyle w:val="Heading2"/>
        <w:spacing w:before="0" w:line="240" w:lineRule="auto"/>
        <w:rPr>
          <w:rFonts w:ascii="Garamond" w:hAnsi="Garamond"/>
          <w:color w:val="auto"/>
        </w:rPr>
      </w:pPr>
      <w:r w:rsidRPr="00A403D3">
        <w:rPr>
          <w:rFonts w:ascii="Garamond" w:hAnsi="Garamond"/>
          <w:color w:val="auto"/>
        </w:rPr>
        <w:t>Value of Volunteering (Conservative £ Equivalent)</w:t>
      </w:r>
    </w:p>
    <w:p w14:paraId="4841B145" w14:textId="77777777" w:rsidR="001C4E90" w:rsidRDefault="001C4E90" w:rsidP="00F95C7F">
      <w:pPr>
        <w:spacing w:after="0" w:line="240" w:lineRule="auto"/>
      </w:pPr>
    </w:p>
    <w:p w14:paraId="0EA8D577" w14:textId="6661C056" w:rsidR="00F527A6" w:rsidRPr="00A403D3" w:rsidRDefault="00F527A6" w:rsidP="00F95C7F">
      <w:pPr>
        <w:spacing w:after="0" w:line="240" w:lineRule="auto"/>
      </w:pPr>
      <w:r w:rsidRPr="00A403D3">
        <w:t>Maintenance (reported totals) contributed 1,326 hours</w:t>
      </w:r>
      <w:r w:rsidR="00004B33">
        <w:t xml:space="preserve">, </w:t>
      </w:r>
      <w:r w:rsidRPr="00A403D3">
        <w:t>scheduled volunteer</w:t>
      </w:r>
      <w:r w:rsidR="00004B33">
        <w:t>s</w:t>
      </w:r>
      <w:r w:rsidRPr="00A403D3">
        <w:t xml:space="preserve"> contributed 2,172.25</w:t>
      </w:r>
      <w:r w:rsidR="00004B33">
        <w:t xml:space="preserve"> hours on matchdays, and </w:t>
      </w:r>
      <w:r w:rsidRPr="00A403D3">
        <w:t xml:space="preserve">community activity hours totalled </w:t>
      </w:r>
      <w:r w:rsidR="00004B33">
        <w:t xml:space="preserve">an estimated </w:t>
      </w:r>
      <w:r w:rsidRPr="00A403D3">
        <w:t>137 hours (note: some quarterly reports explicitly caution these hours are underestimates due to preparation time). In total, this yields a conservative annual estimate of 3,635.25 volunteer hours.</w:t>
      </w:r>
      <w:r w:rsidR="00004B33">
        <w:t xml:space="preserve"> </w:t>
      </w:r>
      <w:r w:rsidRPr="00A403D3">
        <w:t>Using a conservative valuation of £12.00 per hour, the estimated value of volunteer labour in 2025 is approximately £43,623.</w:t>
      </w:r>
      <w:r w:rsidR="00004B33">
        <w:t xml:space="preserve"> </w:t>
      </w:r>
      <w:r w:rsidRPr="00A403D3">
        <w:t>Across all four quarters</w:t>
      </w:r>
      <w:r w:rsidR="00004B33">
        <w:t xml:space="preserve"> </w:t>
      </w:r>
      <w:r w:rsidRPr="00A403D3">
        <w:t>the qualitative evidence repeatedly frames volunteer labour as the mechanism that makes Dripping Pan stewardship possible</w:t>
      </w:r>
      <w:r w:rsidR="00004B33">
        <w:t xml:space="preserve"> </w:t>
      </w:r>
      <w:r w:rsidRPr="00A403D3">
        <w:t xml:space="preserve">at scale: tasks are completed regularly and to a standard </w:t>
      </w:r>
      <w:r w:rsidRPr="00A403D3">
        <w:lastRenderedPageBreak/>
        <w:t>that would otherwise require paid support. Recognition, humour, and shared identity are recurring themes that appear to sustain this contribution over time.</w:t>
      </w:r>
    </w:p>
    <w:p w14:paraId="43754BE5" w14:textId="77777777" w:rsidR="00F527A6" w:rsidRPr="00A403D3" w:rsidRDefault="00F527A6" w:rsidP="00F95C7F">
      <w:pPr>
        <w:spacing w:after="0" w:line="240" w:lineRule="auto"/>
      </w:pPr>
    </w:p>
    <w:p w14:paraId="4E06C102" w14:textId="77777777" w:rsidR="004F500D" w:rsidRPr="00A403D3" w:rsidRDefault="00000000" w:rsidP="00F95C7F">
      <w:pPr>
        <w:pStyle w:val="Heading2"/>
        <w:spacing w:before="0" w:line="240" w:lineRule="auto"/>
        <w:rPr>
          <w:rFonts w:ascii="Garamond" w:hAnsi="Garamond"/>
          <w:color w:val="auto"/>
        </w:rPr>
      </w:pPr>
      <w:r w:rsidRPr="00A403D3">
        <w:rPr>
          <w:rFonts w:ascii="Garamond" w:hAnsi="Garamond"/>
          <w:color w:val="auto"/>
        </w:rPr>
        <w:t>9. A Moment in Club History…</w:t>
      </w:r>
    </w:p>
    <w:p w14:paraId="13421CF1" w14:textId="77777777" w:rsidR="00004B33" w:rsidRDefault="00004B33" w:rsidP="00F95C7F">
      <w:pPr>
        <w:spacing w:after="0" w:line="240" w:lineRule="auto"/>
      </w:pPr>
    </w:p>
    <w:p w14:paraId="7427528C" w14:textId="7E5FBF6F" w:rsidR="004F500D" w:rsidRDefault="00000000" w:rsidP="00F95C7F">
      <w:pPr>
        <w:spacing w:after="0" w:line="240" w:lineRule="auto"/>
      </w:pPr>
      <w:r w:rsidRPr="00A403D3">
        <w:t>Narrative contributions throughout the year connect current activity to the Supporters Club’s longer history. Stories of long</w:t>
      </w:r>
      <w:r w:rsidRPr="00A403D3">
        <w:rPr>
          <w:rFonts w:ascii="Cambria Math" w:hAnsi="Cambria Math" w:cs="Cambria Math"/>
        </w:rPr>
        <w:t>‑</w:t>
      </w:r>
      <w:r w:rsidRPr="00A403D3">
        <w:t>serving volunteers, restored artefacts, and recognition of individual service reinforce a sense of continuity and collective memory.</w:t>
      </w:r>
      <w:r w:rsidR="00004B33">
        <w:t xml:space="preserve"> </w:t>
      </w:r>
      <w:r w:rsidRPr="00A403D3">
        <w:t>These moments do more than celebrate the past; they articulate shared values of care, humour, and community ownership that continue to shape the Club</w:t>
      </w:r>
      <w:r w:rsidRPr="00A403D3">
        <w:rPr>
          <w:rFonts w:cs="Garamond"/>
        </w:rPr>
        <w:t>’</w:t>
      </w:r>
      <w:r w:rsidRPr="00A403D3">
        <w:t>s present and future.</w:t>
      </w:r>
    </w:p>
    <w:p w14:paraId="02B8BAE9" w14:textId="77777777" w:rsidR="00CC7309" w:rsidRDefault="00CC7309" w:rsidP="00F95C7F">
      <w:pPr>
        <w:spacing w:after="0" w:line="240" w:lineRule="auto"/>
      </w:pPr>
    </w:p>
    <w:p w14:paraId="57DD3F0C" w14:textId="77777777" w:rsidR="00CC7309" w:rsidRPr="00A403D3" w:rsidRDefault="00CC7309" w:rsidP="00F95C7F">
      <w:pPr>
        <w:spacing w:after="0" w:line="240" w:lineRule="auto"/>
      </w:pPr>
    </w:p>
    <w:sectPr w:rsidR="00CC7309" w:rsidRPr="00A403D3" w:rsidSect="00034616">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C21E" w14:textId="77777777" w:rsidR="0056241A" w:rsidRDefault="0056241A" w:rsidP="000F1840">
      <w:pPr>
        <w:spacing w:after="0" w:line="240" w:lineRule="auto"/>
      </w:pPr>
      <w:r>
        <w:separator/>
      </w:r>
    </w:p>
  </w:endnote>
  <w:endnote w:type="continuationSeparator" w:id="0">
    <w:p w14:paraId="71BD77D4" w14:textId="77777777" w:rsidR="0056241A" w:rsidRDefault="0056241A" w:rsidP="000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273984"/>
      <w:docPartObj>
        <w:docPartGallery w:val="Page Numbers (Bottom of Page)"/>
        <w:docPartUnique/>
      </w:docPartObj>
    </w:sdtPr>
    <w:sdtEndPr>
      <w:rPr>
        <w:b/>
        <w:bCs/>
        <w:noProof/>
        <w:color w:val="EE0000"/>
        <w:sz w:val="20"/>
        <w:szCs w:val="20"/>
      </w:rPr>
    </w:sdtEndPr>
    <w:sdtContent>
      <w:p w14:paraId="0FAE3565" w14:textId="2A83D5AF" w:rsidR="000F1840" w:rsidRPr="000F1840" w:rsidRDefault="000F1840">
        <w:pPr>
          <w:pStyle w:val="Footer"/>
          <w:jc w:val="right"/>
          <w:rPr>
            <w:b/>
            <w:bCs/>
            <w:color w:val="EE0000"/>
            <w:sz w:val="20"/>
            <w:szCs w:val="20"/>
          </w:rPr>
        </w:pPr>
        <w:r w:rsidRPr="000F1840">
          <w:rPr>
            <w:b/>
            <w:bCs/>
            <w:color w:val="EE0000"/>
            <w:sz w:val="20"/>
            <w:szCs w:val="20"/>
          </w:rPr>
          <w:fldChar w:fldCharType="begin"/>
        </w:r>
        <w:r w:rsidRPr="000F1840">
          <w:rPr>
            <w:b/>
            <w:bCs/>
            <w:color w:val="EE0000"/>
            <w:sz w:val="20"/>
            <w:szCs w:val="20"/>
          </w:rPr>
          <w:instrText xml:space="preserve"> PAGE   \* MERGEFORMAT </w:instrText>
        </w:r>
        <w:r w:rsidRPr="000F1840">
          <w:rPr>
            <w:b/>
            <w:bCs/>
            <w:color w:val="EE0000"/>
            <w:sz w:val="20"/>
            <w:szCs w:val="20"/>
          </w:rPr>
          <w:fldChar w:fldCharType="separate"/>
        </w:r>
        <w:r w:rsidRPr="000F1840">
          <w:rPr>
            <w:b/>
            <w:bCs/>
            <w:noProof/>
            <w:color w:val="EE0000"/>
            <w:sz w:val="20"/>
            <w:szCs w:val="20"/>
          </w:rPr>
          <w:t>2</w:t>
        </w:r>
        <w:r w:rsidRPr="000F1840">
          <w:rPr>
            <w:b/>
            <w:bCs/>
            <w:noProof/>
            <w:color w:val="EE0000"/>
            <w:sz w:val="20"/>
            <w:szCs w:val="20"/>
          </w:rPr>
          <w:fldChar w:fldCharType="end"/>
        </w:r>
      </w:p>
    </w:sdtContent>
  </w:sdt>
  <w:p w14:paraId="23F21FEF" w14:textId="77777777" w:rsidR="000F1840" w:rsidRDefault="000F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613D" w14:textId="77777777" w:rsidR="0056241A" w:rsidRDefault="0056241A" w:rsidP="000F1840">
      <w:pPr>
        <w:spacing w:after="0" w:line="240" w:lineRule="auto"/>
      </w:pPr>
      <w:r>
        <w:separator/>
      </w:r>
    </w:p>
  </w:footnote>
  <w:footnote w:type="continuationSeparator" w:id="0">
    <w:p w14:paraId="35D029CC" w14:textId="77777777" w:rsidR="0056241A" w:rsidRDefault="0056241A" w:rsidP="000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69EF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225.75pt;visibility:visible;mso-wrap-style:squar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5F54A9"/>
    <w:multiLevelType w:val="hybridMultilevel"/>
    <w:tmpl w:val="3ED4BF6A"/>
    <w:lvl w:ilvl="0" w:tplc="D6005370">
      <w:start w:val="1"/>
      <w:numFmt w:val="bullet"/>
      <w:lvlText w:val=""/>
      <w:lvlPicBulletId w:val="0"/>
      <w:lvlJc w:val="left"/>
      <w:pPr>
        <w:tabs>
          <w:tab w:val="num" w:pos="720"/>
        </w:tabs>
        <w:ind w:left="720" w:hanging="360"/>
      </w:pPr>
      <w:rPr>
        <w:rFonts w:ascii="Symbol" w:hAnsi="Symbol" w:hint="default"/>
      </w:rPr>
    </w:lvl>
    <w:lvl w:ilvl="1" w:tplc="7870DE5C" w:tentative="1">
      <w:start w:val="1"/>
      <w:numFmt w:val="bullet"/>
      <w:lvlText w:val=""/>
      <w:lvlJc w:val="left"/>
      <w:pPr>
        <w:tabs>
          <w:tab w:val="num" w:pos="1440"/>
        </w:tabs>
        <w:ind w:left="1440" w:hanging="360"/>
      </w:pPr>
      <w:rPr>
        <w:rFonts w:ascii="Symbol" w:hAnsi="Symbol" w:hint="default"/>
      </w:rPr>
    </w:lvl>
    <w:lvl w:ilvl="2" w:tplc="27D0B03E" w:tentative="1">
      <w:start w:val="1"/>
      <w:numFmt w:val="bullet"/>
      <w:lvlText w:val=""/>
      <w:lvlJc w:val="left"/>
      <w:pPr>
        <w:tabs>
          <w:tab w:val="num" w:pos="2160"/>
        </w:tabs>
        <w:ind w:left="2160" w:hanging="360"/>
      </w:pPr>
      <w:rPr>
        <w:rFonts w:ascii="Symbol" w:hAnsi="Symbol" w:hint="default"/>
      </w:rPr>
    </w:lvl>
    <w:lvl w:ilvl="3" w:tplc="C7FCC834" w:tentative="1">
      <w:start w:val="1"/>
      <w:numFmt w:val="bullet"/>
      <w:lvlText w:val=""/>
      <w:lvlJc w:val="left"/>
      <w:pPr>
        <w:tabs>
          <w:tab w:val="num" w:pos="2880"/>
        </w:tabs>
        <w:ind w:left="2880" w:hanging="360"/>
      </w:pPr>
      <w:rPr>
        <w:rFonts w:ascii="Symbol" w:hAnsi="Symbol" w:hint="default"/>
      </w:rPr>
    </w:lvl>
    <w:lvl w:ilvl="4" w:tplc="1822591E" w:tentative="1">
      <w:start w:val="1"/>
      <w:numFmt w:val="bullet"/>
      <w:lvlText w:val=""/>
      <w:lvlJc w:val="left"/>
      <w:pPr>
        <w:tabs>
          <w:tab w:val="num" w:pos="3600"/>
        </w:tabs>
        <w:ind w:left="3600" w:hanging="360"/>
      </w:pPr>
      <w:rPr>
        <w:rFonts w:ascii="Symbol" w:hAnsi="Symbol" w:hint="default"/>
      </w:rPr>
    </w:lvl>
    <w:lvl w:ilvl="5" w:tplc="264CB21C" w:tentative="1">
      <w:start w:val="1"/>
      <w:numFmt w:val="bullet"/>
      <w:lvlText w:val=""/>
      <w:lvlJc w:val="left"/>
      <w:pPr>
        <w:tabs>
          <w:tab w:val="num" w:pos="4320"/>
        </w:tabs>
        <w:ind w:left="4320" w:hanging="360"/>
      </w:pPr>
      <w:rPr>
        <w:rFonts w:ascii="Symbol" w:hAnsi="Symbol" w:hint="default"/>
      </w:rPr>
    </w:lvl>
    <w:lvl w:ilvl="6" w:tplc="4C82A580" w:tentative="1">
      <w:start w:val="1"/>
      <w:numFmt w:val="bullet"/>
      <w:lvlText w:val=""/>
      <w:lvlJc w:val="left"/>
      <w:pPr>
        <w:tabs>
          <w:tab w:val="num" w:pos="5040"/>
        </w:tabs>
        <w:ind w:left="5040" w:hanging="360"/>
      </w:pPr>
      <w:rPr>
        <w:rFonts w:ascii="Symbol" w:hAnsi="Symbol" w:hint="default"/>
      </w:rPr>
    </w:lvl>
    <w:lvl w:ilvl="7" w:tplc="B0869978" w:tentative="1">
      <w:start w:val="1"/>
      <w:numFmt w:val="bullet"/>
      <w:lvlText w:val=""/>
      <w:lvlJc w:val="left"/>
      <w:pPr>
        <w:tabs>
          <w:tab w:val="num" w:pos="5760"/>
        </w:tabs>
        <w:ind w:left="5760" w:hanging="360"/>
      </w:pPr>
      <w:rPr>
        <w:rFonts w:ascii="Symbol" w:hAnsi="Symbol" w:hint="default"/>
      </w:rPr>
    </w:lvl>
    <w:lvl w:ilvl="8" w:tplc="249E190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FE63AE"/>
    <w:multiLevelType w:val="hybridMultilevel"/>
    <w:tmpl w:val="AC7C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657573">
    <w:abstractNumId w:val="8"/>
  </w:num>
  <w:num w:numId="2" w16cid:durableId="1393969934">
    <w:abstractNumId w:val="6"/>
  </w:num>
  <w:num w:numId="3" w16cid:durableId="905915218">
    <w:abstractNumId w:val="5"/>
  </w:num>
  <w:num w:numId="4" w16cid:durableId="1973515170">
    <w:abstractNumId w:val="4"/>
  </w:num>
  <w:num w:numId="5" w16cid:durableId="1500727446">
    <w:abstractNumId w:val="7"/>
  </w:num>
  <w:num w:numId="6" w16cid:durableId="277493344">
    <w:abstractNumId w:val="3"/>
  </w:num>
  <w:num w:numId="7" w16cid:durableId="999893872">
    <w:abstractNumId w:val="2"/>
  </w:num>
  <w:num w:numId="8" w16cid:durableId="1426613410">
    <w:abstractNumId w:val="1"/>
  </w:num>
  <w:num w:numId="9" w16cid:durableId="1692221194">
    <w:abstractNumId w:val="0"/>
  </w:num>
  <w:num w:numId="10" w16cid:durableId="35543035">
    <w:abstractNumId w:val="9"/>
  </w:num>
  <w:num w:numId="11" w16cid:durableId="932663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49"/>
    <w:rsid w:val="00004B33"/>
    <w:rsid w:val="0002331D"/>
    <w:rsid w:val="00027CB5"/>
    <w:rsid w:val="0003418F"/>
    <w:rsid w:val="00034616"/>
    <w:rsid w:val="00045B2B"/>
    <w:rsid w:val="0006063C"/>
    <w:rsid w:val="000721A7"/>
    <w:rsid w:val="0008443F"/>
    <w:rsid w:val="00085D30"/>
    <w:rsid w:val="00092D3D"/>
    <w:rsid w:val="0009707E"/>
    <w:rsid w:val="000A1996"/>
    <w:rsid w:val="000B6B61"/>
    <w:rsid w:val="000C1862"/>
    <w:rsid w:val="000F1840"/>
    <w:rsid w:val="00112AEC"/>
    <w:rsid w:val="0015074B"/>
    <w:rsid w:val="0016557B"/>
    <w:rsid w:val="00194BB5"/>
    <w:rsid w:val="001C4E90"/>
    <w:rsid w:val="00206F49"/>
    <w:rsid w:val="002146B8"/>
    <w:rsid w:val="00234080"/>
    <w:rsid w:val="00257706"/>
    <w:rsid w:val="00266EE7"/>
    <w:rsid w:val="0027417D"/>
    <w:rsid w:val="00274CB0"/>
    <w:rsid w:val="002852AB"/>
    <w:rsid w:val="0029639D"/>
    <w:rsid w:val="002A759F"/>
    <w:rsid w:val="002B6EE5"/>
    <w:rsid w:val="002D2D65"/>
    <w:rsid w:val="002D3498"/>
    <w:rsid w:val="00307E61"/>
    <w:rsid w:val="00313CC3"/>
    <w:rsid w:val="00326F90"/>
    <w:rsid w:val="003302B6"/>
    <w:rsid w:val="003602FB"/>
    <w:rsid w:val="00377596"/>
    <w:rsid w:val="003A2571"/>
    <w:rsid w:val="003A3F8F"/>
    <w:rsid w:val="003B58A1"/>
    <w:rsid w:val="003D07B9"/>
    <w:rsid w:val="003D6422"/>
    <w:rsid w:val="00415B13"/>
    <w:rsid w:val="0042403F"/>
    <w:rsid w:val="0044121A"/>
    <w:rsid w:val="00456DE4"/>
    <w:rsid w:val="00462DF2"/>
    <w:rsid w:val="00463F76"/>
    <w:rsid w:val="00476256"/>
    <w:rsid w:val="00480F3A"/>
    <w:rsid w:val="00486072"/>
    <w:rsid w:val="004B2556"/>
    <w:rsid w:val="004C1CF8"/>
    <w:rsid w:val="004F500D"/>
    <w:rsid w:val="00537E22"/>
    <w:rsid w:val="0055109C"/>
    <w:rsid w:val="0056241A"/>
    <w:rsid w:val="005665EC"/>
    <w:rsid w:val="00585210"/>
    <w:rsid w:val="00591C99"/>
    <w:rsid w:val="005D4ADC"/>
    <w:rsid w:val="005D4DCD"/>
    <w:rsid w:val="005D5DDB"/>
    <w:rsid w:val="00612ED5"/>
    <w:rsid w:val="00622864"/>
    <w:rsid w:val="0062473D"/>
    <w:rsid w:val="0062733F"/>
    <w:rsid w:val="0065286B"/>
    <w:rsid w:val="006552DB"/>
    <w:rsid w:val="00661EC6"/>
    <w:rsid w:val="006A6948"/>
    <w:rsid w:val="006D45D1"/>
    <w:rsid w:val="006F31F1"/>
    <w:rsid w:val="00701BB3"/>
    <w:rsid w:val="00711C37"/>
    <w:rsid w:val="00714DC6"/>
    <w:rsid w:val="00794037"/>
    <w:rsid w:val="007A3962"/>
    <w:rsid w:val="007D416B"/>
    <w:rsid w:val="007F5490"/>
    <w:rsid w:val="008045C9"/>
    <w:rsid w:val="00826EEF"/>
    <w:rsid w:val="00830F08"/>
    <w:rsid w:val="008473D8"/>
    <w:rsid w:val="00877658"/>
    <w:rsid w:val="0089415F"/>
    <w:rsid w:val="008B30A1"/>
    <w:rsid w:val="008D3265"/>
    <w:rsid w:val="00923F78"/>
    <w:rsid w:val="00962AD7"/>
    <w:rsid w:val="00975D30"/>
    <w:rsid w:val="00985032"/>
    <w:rsid w:val="00991C5D"/>
    <w:rsid w:val="009B1CB8"/>
    <w:rsid w:val="009B26A8"/>
    <w:rsid w:val="009C56C2"/>
    <w:rsid w:val="009C7E6A"/>
    <w:rsid w:val="00A10662"/>
    <w:rsid w:val="00A132E1"/>
    <w:rsid w:val="00A2557F"/>
    <w:rsid w:val="00A403D3"/>
    <w:rsid w:val="00A54FEB"/>
    <w:rsid w:val="00A63194"/>
    <w:rsid w:val="00A77372"/>
    <w:rsid w:val="00AA1D8D"/>
    <w:rsid w:val="00AB5D5F"/>
    <w:rsid w:val="00AC0810"/>
    <w:rsid w:val="00B47730"/>
    <w:rsid w:val="00B51547"/>
    <w:rsid w:val="00B63C85"/>
    <w:rsid w:val="00B66798"/>
    <w:rsid w:val="00B821D3"/>
    <w:rsid w:val="00B82D38"/>
    <w:rsid w:val="00B84A1C"/>
    <w:rsid w:val="00B857C5"/>
    <w:rsid w:val="00BB06E7"/>
    <w:rsid w:val="00BC4E7D"/>
    <w:rsid w:val="00BE35A1"/>
    <w:rsid w:val="00BE5718"/>
    <w:rsid w:val="00C132DC"/>
    <w:rsid w:val="00C32BBB"/>
    <w:rsid w:val="00C54EF0"/>
    <w:rsid w:val="00C62711"/>
    <w:rsid w:val="00C65F87"/>
    <w:rsid w:val="00C87A75"/>
    <w:rsid w:val="00C91C1B"/>
    <w:rsid w:val="00C96B51"/>
    <w:rsid w:val="00CA5316"/>
    <w:rsid w:val="00CB0664"/>
    <w:rsid w:val="00CC7309"/>
    <w:rsid w:val="00CD6A52"/>
    <w:rsid w:val="00CE4CB0"/>
    <w:rsid w:val="00CE5F6A"/>
    <w:rsid w:val="00D170DD"/>
    <w:rsid w:val="00D43343"/>
    <w:rsid w:val="00D542AF"/>
    <w:rsid w:val="00D6342B"/>
    <w:rsid w:val="00D920E7"/>
    <w:rsid w:val="00DA7939"/>
    <w:rsid w:val="00DB49F0"/>
    <w:rsid w:val="00DB4C90"/>
    <w:rsid w:val="00DC11A7"/>
    <w:rsid w:val="00DE03FB"/>
    <w:rsid w:val="00E07BE1"/>
    <w:rsid w:val="00E126DF"/>
    <w:rsid w:val="00E37018"/>
    <w:rsid w:val="00E607E6"/>
    <w:rsid w:val="00E92A3F"/>
    <w:rsid w:val="00E9351A"/>
    <w:rsid w:val="00F215FD"/>
    <w:rsid w:val="00F2241A"/>
    <w:rsid w:val="00F34D79"/>
    <w:rsid w:val="00F41FB6"/>
    <w:rsid w:val="00F509F9"/>
    <w:rsid w:val="00F527A6"/>
    <w:rsid w:val="00F669B5"/>
    <w:rsid w:val="00F95C7F"/>
    <w:rsid w:val="00FC02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6E4A9"/>
  <w14:defaultImageDpi w14:val="300"/>
  <w15:docId w15:val="{F68DBFA5-F85E-4F5C-B899-71C3A19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hAnsi="Garamon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92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4037"/>
    <w:rPr>
      <w:color w:val="0000FF" w:themeColor="hyperlink"/>
      <w:u w:val="single"/>
    </w:rPr>
  </w:style>
  <w:style w:type="character" w:styleId="UnresolvedMention">
    <w:name w:val="Unresolved Mention"/>
    <w:basedOn w:val="DefaultParagraphFont"/>
    <w:uiPriority w:val="99"/>
    <w:semiHidden/>
    <w:unhideWhenUsed/>
    <w:rsid w:val="00794037"/>
    <w:rPr>
      <w:color w:val="605E5C"/>
      <w:shd w:val="clear" w:color="auto" w:fill="E1DFDD"/>
    </w:rPr>
  </w:style>
  <w:style w:type="table" w:styleId="GridTable6Colorful">
    <w:name w:val="Grid Table 6 Colorful"/>
    <w:basedOn w:val="TableNormal"/>
    <w:uiPriority w:val="51"/>
    <w:rsid w:val="009C56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F215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F215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zzacollins@g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8</Pages>
  <Words>2076</Words>
  <Characters>12940</Characters>
  <Application>Microsoft Office Word</Application>
  <DocSecurity>0</DocSecurity>
  <Lines>380</Lines>
  <Paragraphs>217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Sheldon</cp:lastModifiedBy>
  <cp:revision>138</cp:revision>
  <dcterms:created xsi:type="dcterms:W3CDTF">2013-12-23T23:15:00Z</dcterms:created>
  <dcterms:modified xsi:type="dcterms:W3CDTF">2026-01-12T16:34:00Z</dcterms:modified>
  <cp:category/>
</cp:coreProperties>
</file>